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8363" w:type="dxa"/>
        <w:tblInd w:w="9" w:type="dxa"/>
        <w:tblLook w:val="0000" w:firstRow="0" w:lastRow="0" w:firstColumn="0" w:lastColumn="0" w:noHBand="0" w:noVBand="0"/>
      </w:tblPr>
      <w:tblGrid>
        <w:gridCol w:w="8363"/>
      </w:tblGrid>
      <w:tr w:rsidR="00036227" w:rsidTr="00F54B0A">
        <w:tc>
          <w:tcPr>
            <w:tcW w:w="8363" w:type="dxa"/>
          </w:tcPr>
          <w:p w:rsidR="00916FF8" w:rsidRPr="00624A42" w:rsidRDefault="004F4A11" w:rsidP="004C7868">
            <w:pPr>
              <w:pStyle w:val="FileNumber0"/>
              <w:rPr>
                <w:sz w:val="28"/>
                <w:u w:val="single"/>
                <w:rtl/>
              </w:rPr>
            </w:pPr>
            <w:bookmarkStart w:id="0" w:name="_GoBack"/>
            <w:bookmarkEnd w:id="0"/>
            <w:r>
              <w:rPr>
                <w:u w:val="single"/>
                <w:rtl/>
              </w:rPr>
              <w:t>בבית המשפט העליון בשבתו כבית משפט גבוה לצדק</w:t>
            </w:r>
          </w:p>
        </w:tc>
      </w:tr>
    </w:tbl>
    <w:p w:rsidR="00916FF8" w:rsidRDefault="00916FF8">
      <w:pPr>
        <w:jc w:val="right"/>
        <w:rPr>
          <w:rFonts w:cs="Miriam"/>
          <w:b/>
          <w:bCs/>
          <w:u w:val="single"/>
        </w:rPr>
      </w:pPr>
    </w:p>
    <w:tbl>
      <w:tblPr>
        <w:bidiVisual/>
        <w:tblW w:w="8363" w:type="dxa"/>
        <w:tblLook w:val="0000" w:firstRow="0" w:lastRow="0" w:firstColumn="0" w:lastColumn="0" w:noHBand="0" w:noVBand="0"/>
      </w:tblPr>
      <w:tblGrid>
        <w:gridCol w:w="8363"/>
      </w:tblGrid>
      <w:tr w:rsidR="00036227" w:rsidTr="0039709B">
        <w:trPr>
          <w:trHeight w:val="342"/>
        </w:trPr>
        <w:tc>
          <w:tcPr>
            <w:tcW w:w="9828" w:type="dxa"/>
          </w:tcPr>
          <w:p w:rsidR="00916FF8" w:rsidRPr="00810894" w:rsidRDefault="004F4A11">
            <w:pPr>
              <w:pStyle w:val="FileNumber"/>
              <w:rPr>
                <w:sz w:val="28"/>
                <w:szCs w:val="28"/>
              </w:rPr>
            </w:pPr>
            <w:bookmarkStart w:id="1" w:name="casename_body"/>
            <w:r>
              <w:rPr>
                <w:sz w:val="28"/>
                <w:szCs w:val="28"/>
                <w:rtl/>
              </w:rPr>
              <w:t>בג"ץ  8007/23</w:t>
            </w:r>
          </w:p>
        </w:tc>
      </w:tr>
      <w:bookmarkEnd w:id="1"/>
    </w:tbl>
    <w:p w:rsidR="00916FF8" w:rsidRDefault="00916FF8">
      <w:pPr>
        <w:jc w:val="right"/>
        <w:rPr>
          <w:rFonts w:cs="Miriam"/>
          <w:b/>
          <w:bCs/>
          <w:u w:val="single"/>
        </w:rPr>
      </w:pPr>
    </w:p>
    <w:tbl>
      <w:tblPr>
        <w:bidiVisual/>
        <w:tblW w:w="8364" w:type="dxa"/>
        <w:tblLayout w:type="fixed"/>
        <w:tblLook w:val="0000" w:firstRow="0" w:lastRow="0" w:firstColumn="0" w:lastColumn="0" w:noHBand="0" w:noVBand="0"/>
      </w:tblPr>
      <w:tblGrid>
        <w:gridCol w:w="3210"/>
        <w:gridCol w:w="5154"/>
      </w:tblGrid>
      <w:tr w:rsidR="00036227" w:rsidTr="00EC23AC">
        <w:trPr>
          <w:trHeight w:val="287"/>
        </w:trPr>
        <w:tc>
          <w:tcPr>
            <w:tcW w:w="3261" w:type="dxa"/>
          </w:tcPr>
          <w:p w:rsidR="00036227" w:rsidRDefault="00CB7600">
            <w:pPr>
              <w:pStyle w:val="BodyRuller"/>
              <w:rPr>
                <w:rFonts w:cs="Miriam"/>
                <w:b/>
                <w:bCs/>
                <w:u w:val="single"/>
              </w:rPr>
            </w:pPr>
            <w:r>
              <w:rPr>
                <w:rFonts w:hint="cs"/>
                <w:rtl/>
              </w:rPr>
              <w:t>ל</w:t>
            </w:r>
            <w:r w:rsidR="00036227">
              <w:rPr>
                <w:rtl/>
              </w:rPr>
              <w:t>פני:</w:t>
            </w:r>
            <w:r w:rsidR="00036227">
              <w:rPr>
                <w:rtl/>
              </w:rPr>
              <w:tab/>
            </w:r>
          </w:p>
        </w:tc>
        <w:tc>
          <w:tcPr>
            <w:tcW w:w="5239" w:type="dxa"/>
          </w:tcPr>
          <w:p w:rsidR="00036227" w:rsidRDefault="004F4A11">
            <w:pPr>
              <w:pStyle w:val="BodyRuller"/>
            </w:pPr>
            <w:r>
              <w:rPr>
                <w:rtl/>
              </w:rPr>
              <w:t>כבוד השופט י' עמית</w:t>
            </w:r>
          </w:p>
        </w:tc>
      </w:tr>
      <w:tr w:rsidR="004F4A11" w:rsidTr="00EC23AC">
        <w:trPr>
          <w:trHeight w:val="287"/>
        </w:trPr>
        <w:tc>
          <w:tcPr>
            <w:tcW w:w="3261" w:type="dxa"/>
          </w:tcPr>
          <w:p w:rsidR="004F4A11" w:rsidRDefault="004F4A11">
            <w:pPr>
              <w:pStyle w:val="BodyRuller"/>
              <w:rPr>
                <w:rtl/>
              </w:rPr>
            </w:pPr>
          </w:p>
        </w:tc>
        <w:tc>
          <w:tcPr>
            <w:tcW w:w="5239" w:type="dxa"/>
          </w:tcPr>
          <w:p w:rsidR="004F4A11" w:rsidRDefault="004F4A11">
            <w:pPr>
              <w:pStyle w:val="BodyRuller"/>
              <w:rPr>
                <w:rtl/>
              </w:rPr>
            </w:pPr>
            <w:r>
              <w:rPr>
                <w:rtl/>
              </w:rPr>
              <w:t>כבוד השופטת י' וילנר</w:t>
            </w:r>
          </w:p>
        </w:tc>
      </w:tr>
      <w:tr w:rsidR="004F4A11" w:rsidTr="00EC23AC">
        <w:trPr>
          <w:trHeight w:val="287"/>
        </w:trPr>
        <w:tc>
          <w:tcPr>
            <w:tcW w:w="3261" w:type="dxa"/>
          </w:tcPr>
          <w:p w:rsidR="004F4A11" w:rsidRDefault="004F4A11">
            <w:pPr>
              <w:pStyle w:val="BodyRuller"/>
              <w:rPr>
                <w:rtl/>
              </w:rPr>
            </w:pPr>
          </w:p>
        </w:tc>
        <w:tc>
          <w:tcPr>
            <w:tcW w:w="5239" w:type="dxa"/>
          </w:tcPr>
          <w:p w:rsidR="004F4A11" w:rsidRDefault="004F4A11">
            <w:pPr>
              <w:pStyle w:val="BodyRuller"/>
              <w:rPr>
                <w:rtl/>
              </w:rPr>
            </w:pPr>
            <w:r>
              <w:rPr>
                <w:rtl/>
              </w:rPr>
              <w:t>כבוד השופטת ר' רונן</w:t>
            </w:r>
          </w:p>
        </w:tc>
      </w:tr>
    </w:tbl>
    <w:p w:rsidR="00916FF8" w:rsidRDefault="00916FF8">
      <w:pPr>
        <w:pStyle w:val="Ruller3"/>
        <w:rPr>
          <w:rFonts w:cs="Miriam"/>
          <w:b/>
          <w:bCs/>
          <w:u w:val="single"/>
          <w:rtl/>
        </w:rPr>
      </w:pPr>
    </w:p>
    <w:tbl>
      <w:tblPr>
        <w:bidiVisual/>
        <w:tblW w:w="8364" w:type="dxa"/>
        <w:tblLayout w:type="fixed"/>
        <w:tblLook w:val="0000" w:firstRow="0" w:lastRow="0" w:firstColumn="0" w:lastColumn="0" w:noHBand="0" w:noVBand="0"/>
      </w:tblPr>
      <w:tblGrid>
        <w:gridCol w:w="3210"/>
        <w:gridCol w:w="5154"/>
      </w:tblGrid>
      <w:tr w:rsidR="00D00CB7" w:rsidTr="00DD6306">
        <w:trPr>
          <w:trHeight w:val="287"/>
        </w:trPr>
        <w:tc>
          <w:tcPr>
            <w:tcW w:w="3261" w:type="dxa"/>
          </w:tcPr>
          <w:p w:rsidR="00D00CB7" w:rsidRPr="00E75223" w:rsidRDefault="004F4A11" w:rsidP="00DD6306">
            <w:pPr>
              <w:pStyle w:val="BodyRuller"/>
              <w:rPr>
                <w:rFonts w:ascii="David" w:hAnsi="David"/>
              </w:rPr>
            </w:pPr>
            <w:r>
              <w:rPr>
                <w:rFonts w:ascii="David" w:hAnsi="David"/>
                <w:rtl/>
              </w:rPr>
              <w:t>העותרים:</w:t>
            </w:r>
          </w:p>
        </w:tc>
        <w:tc>
          <w:tcPr>
            <w:tcW w:w="5239" w:type="dxa"/>
          </w:tcPr>
          <w:p w:rsidR="00D00CB7" w:rsidRDefault="004F4A11" w:rsidP="00B2761D">
            <w:pPr>
              <w:pStyle w:val="BodyRuller"/>
              <w:jc w:val="both"/>
            </w:pPr>
            <w:r>
              <w:rPr>
                <w:rtl/>
              </w:rPr>
              <w:t>1. מפלגת חד"ש - החזית הדמוקרטית לשלום ולשוויון</w:t>
            </w:r>
          </w:p>
        </w:tc>
      </w:tr>
      <w:tr w:rsidR="004F4A11" w:rsidTr="00DD6306">
        <w:trPr>
          <w:trHeight w:val="287"/>
        </w:trPr>
        <w:tc>
          <w:tcPr>
            <w:tcW w:w="3261" w:type="dxa"/>
          </w:tcPr>
          <w:p w:rsidR="004F4A11" w:rsidRDefault="004F4A11" w:rsidP="00DD6306">
            <w:pPr>
              <w:pStyle w:val="BodyRuller"/>
              <w:rPr>
                <w:rFonts w:ascii="David" w:hAnsi="David"/>
                <w:rtl/>
              </w:rPr>
            </w:pPr>
          </w:p>
        </w:tc>
        <w:tc>
          <w:tcPr>
            <w:tcW w:w="5239" w:type="dxa"/>
          </w:tcPr>
          <w:p w:rsidR="004F4A11" w:rsidRDefault="004F4A11" w:rsidP="00B2761D">
            <w:pPr>
              <w:pStyle w:val="BodyRuller"/>
              <w:jc w:val="both"/>
              <w:rPr>
                <w:rtl/>
              </w:rPr>
            </w:pPr>
            <w:r>
              <w:rPr>
                <w:rtl/>
              </w:rPr>
              <w:t>2. מוריד פריד מחאמיד - מזכיר מק"י באום אל פחם</w:t>
            </w:r>
          </w:p>
        </w:tc>
      </w:tr>
      <w:tr w:rsidR="004F4A11" w:rsidTr="00DD6306">
        <w:trPr>
          <w:trHeight w:val="287"/>
        </w:trPr>
        <w:tc>
          <w:tcPr>
            <w:tcW w:w="3261" w:type="dxa"/>
          </w:tcPr>
          <w:p w:rsidR="004F4A11" w:rsidRDefault="004F4A11" w:rsidP="00DD6306">
            <w:pPr>
              <w:pStyle w:val="BodyRuller"/>
              <w:rPr>
                <w:rFonts w:ascii="David" w:hAnsi="David"/>
                <w:rtl/>
              </w:rPr>
            </w:pPr>
          </w:p>
        </w:tc>
        <w:tc>
          <w:tcPr>
            <w:tcW w:w="5239" w:type="dxa"/>
          </w:tcPr>
          <w:p w:rsidR="004F4A11" w:rsidRDefault="004F4A11" w:rsidP="00DD6306">
            <w:pPr>
              <w:pStyle w:val="BodyRuller"/>
              <w:rPr>
                <w:rtl/>
              </w:rPr>
            </w:pPr>
            <w:r>
              <w:rPr>
                <w:rtl/>
              </w:rPr>
              <w:t>3. תאופיק אחמד - מזכיר מק"י באזור אלבטוף</w:t>
            </w:r>
          </w:p>
        </w:tc>
      </w:tr>
      <w:tr w:rsidR="004F4A11" w:rsidTr="00DD6306">
        <w:trPr>
          <w:trHeight w:val="287"/>
        </w:trPr>
        <w:tc>
          <w:tcPr>
            <w:tcW w:w="3261" w:type="dxa"/>
          </w:tcPr>
          <w:p w:rsidR="004F4A11" w:rsidRDefault="004F4A11" w:rsidP="00DD6306">
            <w:pPr>
              <w:pStyle w:val="BodyRuller"/>
              <w:rPr>
                <w:rFonts w:ascii="David" w:hAnsi="David"/>
                <w:rtl/>
              </w:rPr>
            </w:pPr>
          </w:p>
        </w:tc>
        <w:tc>
          <w:tcPr>
            <w:tcW w:w="5239" w:type="dxa"/>
          </w:tcPr>
          <w:p w:rsidR="004F4A11" w:rsidRDefault="004F4A11" w:rsidP="00B2761D">
            <w:pPr>
              <w:pStyle w:val="BodyRuller"/>
              <w:jc w:val="both"/>
              <w:rPr>
                <w:rtl/>
              </w:rPr>
            </w:pPr>
            <w:r>
              <w:rPr>
                <w:rtl/>
              </w:rPr>
              <w:t>4. עדאלה - המרכז המשפטי לזכויות המיעוט הערבי בישראל</w:t>
            </w:r>
          </w:p>
        </w:tc>
      </w:tr>
    </w:tbl>
    <w:p w:rsidR="00D00CB7" w:rsidRDefault="00D00CB7">
      <w:pPr>
        <w:pStyle w:val="Ruller3"/>
      </w:pPr>
    </w:p>
    <w:tbl>
      <w:tblPr>
        <w:bidiVisual/>
        <w:tblW w:w="8363" w:type="dxa"/>
        <w:tblLook w:val="0000" w:firstRow="0" w:lastRow="0" w:firstColumn="0" w:lastColumn="0" w:noHBand="0" w:noVBand="0"/>
      </w:tblPr>
      <w:tblGrid>
        <w:gridCol w:w="3222"/>
        <w:gridCol w:w="5141"/>
      </w:tblGrid>
      <w:tr w:rsidR="00036227" w:rsidTr="0039709B">
        <w:tc>
          <w:tcPr>
            <w:tcW w:w="3284" w:type="dxa"/>
          </w:tcPr>
          <w:p w:rsidR="00036227" w:rsidRDefault="00036227">
            <w:pPr>
              <w:pStyle w:val="BodyRuller"/>
            </w:pPr>
          </w:p>
        </w:tc>
        <w:tc>
          <w:tcPr>
            <w:tcW w:w="5238" w:type="dxa"/>
          </w:tcPr>
          <w:p w:rsidR="00036227" w:rsidRDefault="00036227">
            <w:pPr>
              <w:pStyle w:val="BodyRuller"/>
            </w:pPr>
            <w:r>
              <w:rPr>
                <w:rFonts w:hint="cs"/>
                <w:rtl/>
              </w:rPr>
              <w:t>נ</w:t>
            </w:r>
            <w:r>
              <w:t xml:space="preserve">  </w:t>
            </w:r>
            <w:r>
              <w:rPr>
                <w:rFonts w:hint="cs"/>
                <w:rtl/>
              </w:rPr>
              <w:t>ג</w:t>
            </w:r>
            <w:r>
              <w:t xml:space="preserve">  </w:t>
            </w:r>
            <w:r>
              <w:rPr>
                <w:rFonts w:hint="cs"/>
                <w:rtl/>
              </w:rPr>
              <w:t>ד</w:t>
            </w:r>
          </w:p>
        </w:tc>
      </w:tr>
    </w:tbl>
    <w:p w:rsidR="00916FF8" w:rsidRDefault="00916FF8">
      <w:pPr>
        <w:pStyle w:val="Ruller3"/>
        <w:rPr>
          <w:rtl/>
        </w:rPr>
      </w:pPr>
    </w:p>
    <w:tbl>
      <w:tblPr>
        <w:bidiVisual/>
        <w:tblW w:w="8364" w:type="dxa"/>
        <w:tblLayout w:type="fixed"/>
        <w:tblLook w:val="0000" w:firstRow="0" w:lastRow="0" w:firstColumn="0" w:lastColumn="0" w:noHBand="0" w:noVBand="0"/>
      </w:tblPr>
      <w:tblGrid>
        <w:gridCol w:w="3210"/>
        <w:gridCol w:w="5154"/>
      </w:tblGrid>
      <w:tr w:rsidR="0083345F" w:rsidTr="00DD6306">
        <w:trPr>
          <w:trHeight w:val="287"/>
        </w:trPr>
        <w:tc>
          <w:tcPr>
            <w:tcW w:w="3261" w:type="dxa"/>
          </w:tcPr>
          <w:p w:rsidR="0083345F" w:rsidRPr="00E75223" w:rsidRDefault="004F4A11" w:rsidP="00DD6306">
            <w:pPr>
              <w:pStyle w:val="BodyRuller"/>
              <w:rPr>
                <w:rFonts w:ascii="David" w:hAnsi="David"/>
              </w:rPr>
            </w:pPr>
            <w:r>
              <w:rPr>
                <w:rFonts w:ascii="David" w:hAnsi="David"/>
                <w:rtl/>
              </w:rPr>
              <w:t>המשיבים:</w:t>
            </w:r>
          </w:p>
        </w:tc>
        <w:tc>
          <w:tcPr>
            <w:tcW w:w="5239" w:type="dxa"/>
          </w:tcPr>
          <w:p w:rsidR="0083345F" w:rsidRDefault="004F4A11" w:rsidP="00DD6306">
            <w:pPr>
              <w:pStyle w:val="BodyRuller"/>
            </w:pPr>
            <w:r>
              <w:rPr>
                <w:rtl/>
              </w:rPr>
              <w:t>1. מר יעקב שבתאי, מפכ"ל המשטרה</w:t>
            </w:r>
          </w:p>
        </w:tc>
      </w:tr>
      <w:tr w:rsidR="004F4A11" w:rsidTr="00DD6306">
        <w:trPr>
          <w:trHeight w:val="287"/>
        </w:trPr>
        <w:tc>
          <w:tcPr>
            <w:tcW w:w="3261" w:type="dxa"/>
          </w:tcPr>
          <w:p w:rsidR="004F4A11" w:rsidRDefault="004F4A11" w:rsidP="00DD6306">
            <w:pPr>
              <w:pStyle w:val="BodyRuller"/>
              <w:rPr>
                <w:rFonts w:ascii="David" w:hAnsi="David"/>
                <w:rtl/>
              </w:rPr>
            </w:pPr>
          </w:p>
        </w:tc>
        <w:tc>
          <w:tcPr>
            <w:tcW w:w="5239" w:type="dxa"/>
          </w:tcPr>
          <w:p w:rsidR="004F4A11" w:rsidRDefault="004F4A11" w:rsidP="00DD6306">
            <w:pPr>
              <w:pStyle w:val="BodyRuller"/>
              <w:rPr>
                <w:rtl/>
              </w:rPr>
            </w:pPr>
            <w:r>
              <w:rPr>
                <w:rtl/>
              </w:rPr>
              <w:t>2. תחנת מחוז חוף - מרחב מנשה, משטרת ישראל</w:t>
            </w:r>
          </w:p>
        </w:tc>
      </w:tr>
      <w:tr w:rsidR="004F4A11" w:rsidTr="00DD6306">
        <w:trPr>
          <w:trHeight w:val="287"/>
        </w:trPr>
        <w:tc>
          <w:tcPr>
            <w:tcW w:w="3261" w:type="dxa"/>
          </w:tcPr>
          <w:p w:rsidR="004F4A11" w:rsidRDefault="004F4A11" w:rsidP="00DD6306">
            <w:pPr>
              <w:pStyle w:val="BodyRuller"/>
              <w:rPr>
                <w:rFonts w:ascii="David" w:hAnsi="David"/>
                <w:rtl/>
              </w:rPr>
            </w:pPr>
          </w:p>
        </w:tc>
        <w:tc>
          <w:tcPr>
            <w:tcW w:w="5239" w:type="dxa"/>
          </w:tcPr>
          <w:p w:rsidR="004F4A11" w:rsidRDefault="004F4A11" w:rsidP="00DD6306">
            <w:pPr>
              <w:pStyle w:val="BodyRuller"/>
              <w:rPr>
                <w:rtl/>
              </w:rPr>
            </w:pPr>
            <w:r>
              <w:rPr>
                <w:rtl/>
              </w:rPr>
              <w:t>3. תחנת מחוז צפון - תחנת משגב משטרת ישראל</w:t>
            </w:r>
          </w:p>
        </w:tc>
      </w:tr>
    </w:tbl>
    <w:p w:rsidR="0083345F" w:rsidRDefault="0083345F">
      <w:pPr>
        <w:pStyle w:val="Ruller3"/>
      </w:pPr>
    </w:p>
    <w:tbl>
      <w:tblPr>
        <w:bidiVisual/>
        <w:tblW w:w="0" w:type="auto"/>
        <w:tblInd w:w="3209" w:type="dxa"/>
        <w:tblLook w:val="0000" w:firstRow="0" w:lastRow="0" w:firstColumn="0" w:lastColumn="0" w:noHBand="0" w:noVBand="0"/>
      </w:tblPr>
      <w:tblGrid>
        <w:gridCol w:w="5103"/>
      </w:tblGrid>
      <w:tr w:rsidR="00036227" w:rsidTr="00CA1444">
        <w:tc>
          <w:tcPr>
            <w:tcW w:w="5103" w:type="dxa"/>
          </w:tcPr>
          <w:p w:rsidR="00916FF8" w:rsidRPr="00265F6E" w:rsidRDefault="00B2761D">
            <w:pPr>
              <w:pStyle w:val="BodyRuller"/>
              <w:rPr>
                <w:sz w:val="24"/>
                <w:szCs w:val="24"/>
              </w:rPr>
            </w:pPr>
            <w:r>
              <w:rPr>
                <w:rFonts w:hint="cs"/>
                <w:sz w:val="24"/>
                <w:szCs w:val="24"/>
                <w:rtl/>
              </w:rPr>
              <w:t xml:space="preserve">עתירה למתן צו על תנאי </w:t>
            </w:r>
          </w:p>
        </w:tc>
      </w:tr>
    </w:tbl>
    <w:p w:rsidR="00916FF8" w:rsidRPr="00B2761D" w:rsidRDefault="00916FF8">
      <w:pPr>
        <w:pStyle w:val="Ruller3"/>
        <w:rPr>
          <w:rtl/>
        </w:rPr>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0"/>
        <w:gridCol w:w="4846"/>
        <w:gridCol w:w="287"/>
      </w:tblGrid>
      <w:tr w:rsidR="008C2F11" w:rsidTr="00B2761D">
        <w:tc>
          <w:tcPr>
            <w:tcW w:w="3230" w:type="dxa"/>
            <w:tcBorders>
              <w:top w:val="nil"/>
              <w:left w:val="nil"/>
              <w:bottom w:val="nil"/>
              <w:right w:val="nil"/>
            </w:tcBorders>
          </w:tcPr>
          <w:p w:rsidR="008C2F11" w:rsidRPr="00265F6E" w:rsidRDefault="008C2F11">
            <w:pPr>
              <w:pStyle w:val="BodyRuller"/>
              <w:rPr>
                <w:sz w:val="24"/>
                <w:szCs w:val="24"/>
              </w:rPr>
            </w:pPr>
            <w:r w:rsidRPr="00265F6E">
              <w:rPr>
                <w:sz w:val="24"/>
                <w:szCs w:val="24"/>
                <w:rtl/>
              </w:rPr>
              <w:t>תאריך הישיבה:</w:t>
            </w:r>
          </w:p>
        </w:tc>
        <w:tc>
          <w:tcPr>
            <w:tcW w:w="4846" w:type="dxa"/>
            <w:tcBorders>
              <w:top w:val="nil"/>
              <w:left w:val="nil"/>
              <w:bottom w:val="nil"/>
              <w:right w:val="nil"/>
            </w:tcBorders>
          </w:tcPr>
          <w:p w:rsidR="008C2F11" w:rsidRDefault="00B2761D">
            <w:pPr>
              <w:pStyle w:val="BodyRuller"/>
              <w:rPr>
                <w:rtl/>
              </w:rPr>
            </w:pPr>
            <w:r w:rsidRPr="00B2761D">
              <w:rPr>
                <w:rFonts w:hint="cs"/>
                <w:sz w:val="18"/>
                <w:szCs w:val="24"/>
                <w:rtl/>
              </w:rPr>
              <w:t>כ"ג בחשון התשפ"ד (7.11.2023)</w:t>
            </w:r>
          </w:p>
        </w:tc>
        <w:tc>
          <w:tcPr>
            <w:tcW w:w="287" w:type="dxa"/>
            <w:tcBorders>
              <w:top w:val="nil"/>
              <w:left w:val="nil"/>
              <w:bottom w:val="nil"/>
              <w:right w:val="nil"/>
            </w:tcBorders>
          </w:tcPr>
          <w:p w:rsidR="008C2F11" w:rsidRDefault="008C2F11">
            <w:pPr>
              <w:pStyle w:val="BodyRuller"/>
              <w:rPr>
                <w:sz w:val="24"/>
                <w:szCs w:val="24"/>
                <w:rtl/>
              </w:rPr>
            </w:pPr>
          </w:p>
        </w:tc>
      </w:tr>
    </w:tbl>
    <w:p w:rsidR="00916FF8" w:rsidRDefault="00916FF8">
      <w:pPr>
        <w:pStyle w:val="Ruller3"/>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5"/>
        <w:gridCol w:w="5148"/>
      </w:tblGrid>
      <w:tr w:rsidR="00036227" w:rsidTr="00B2761D">
        <w:tc>
          <w:tcPr>
            <w:tcW w:w="3215" w:type="dxa"/>
            <w:tcBorders>
              <w:top w:val="nil"/>
              <w:left w:val="nil"/>
              <w:bottom w:val="nil"/>
              <w:right w:val="nil"/>
            </w:tcBorders>
          </w:tcPr>
          <w:p w:rsidR="00036227" w:rsidRDefault="004F4A11">
            <w:pPr>
              <w:pStyle w:val="BodyRuller"/>
            </w:pPr>
            <w:r>
              <w:rPr>
                <w:rtl/>
              </w:rPr>
              <w:t>בשם העותרים:</w:t>
            </w:r>
          </w:p>
        </w:tc>
        <w:tc>
          <w:tcPr>
            <w:tcW w:w="5148" w:type="dxa"/>
            <w:tcBorders>
              <w:top w:val="nil"/>
              <w:left w:val="nil"/>
              <w:bottom w:val="nil"/>
              <w:right w:val="nil"/>
            </w:tcBorders>
          </w:tcPr>
          <w:p w:rsidR="00036227" w:rsidRDefault="004F4A11" w:rsidP="00DE18C2">
            <w:pPr>
              <w:pStyle w:val="BodyRuller"/>
            </w:pPr>
            <w:r w:rsidRPr="00DE18C2">
              <w:rPr>
                <w:rtl/>
              </w:rPr>
              <w:t xml:space="preserve">עו"ד </w:t>
            </w:r>
            <w:r w:rsidR="00DE18C2" w:rsidRPr="00DE18C2">
              <w:rPr>
                <w:rFonts w:hint="cs"/>
                <w:rtl/>
              </w:rPr>
              <w:t>חסן ג'בארין</w:t>
            </w:r>
          </w:p>
        </w:tc>
      </w:tr>
    </w:tbl>
    <w:p w:rsidR="00916FF8" w:rsidRDefault="00916FF8">
      <w:pPr>
        <w:pStyle w:val="Ruller3"/>
      </w:pPr>
    </w:p>
    <w:tbl>
      <w:tblPr>
        <w:bidiVisual/>
        <w:tblW w:w="8363"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6"/>
        <w:gridCol w:w="5147"/>
      </w:tblGrid>
      <w:tr w:rsidR="00036227" w:rsidTr="00B2761D">
        <w:tc>
          <w:tcPr>
            <w:tcW w:w="3216" w:type="dxa"/>
            <w:tcBorders>
              <w:top w:val="nil"/>
              <w:left w:val="nil"/>
              <w:bottom w:val="nil"/>
              <w:right w:val="nil"/>
            </w:tcBorders>
          </w:tcPr>
          <w:p w:rsidR="00036227" w:rsidRDefault="004F4A11">
            <w:pPr>
              <w:pStyle w:val="BodyRuller"/>
            </w:pPr>
            <w:r>
              <w:rPr>
                <w:rtl/>
              </w:rPr>
              <w:t>בשם המשיבים:</w:t>
            </w:r>
          </w:p>
        </w:tc>
        <w:tc>
          <w:tcPr>
            <w:tcW w:w="5147" w:type="dxa"/>
            <w:tcBorders>
              <w:top w:val="nil"/>
              <w:left w:val="nil"/>
              <w:bottom w:val="nil"/>
              <w:right w:val="nil"/>
            </w:tcBorders>
          </w:tcPr>
          <w:p w:rsidR="00036227" w:rsidRDefault="004F4A11" w:rsidP="00B2761D">
            <w:pPr>
              <w:pStyle w:val="BodyRuller"/>
            </w:pPr>
            <w:r w:rsidRPr="00DE18C2">
              <w:rPr>
                <w:rtl/>
              </w:rPr>
              <w:t xml:space="preserve">עו"ד </w:t>
            </w:r>
            <w:r w:rsidR="00B2761D" w:rsidRPr="00DE18C2">
              <w:rPr>
                <w:rFonts w:hint="cs"/>
                <w:rtl/>
              </w:rPr>
              <w:t xml:space="preserve">מוריה </w:t>
            </w:r>
            <w:r w:rsidRPr="00DE18C2">
              <w:rPr>
                <w:rtl/>
              </w:rPr>
              <w:t>פרימן</w:t>
            </w:r>
            <w:r w:rsidR="00DE18C2">
              <w:rPr>
                <w:rFonts w:hint="cs"/>
                <w:rtl/>
              </w:rPr>
              <w:t>; עו"ד סיון דגן</w:t>
            </w:r>
          </w:p>
        </w:tc>
      </w:tr>
    </w:tbl>
    <w:p w:rsidR="00916FF8" w:rsidRPr="00DE18C2" w:rsidRDefault="00916FF8">
      <w:pPr>
        <w:tabs>
          <w:tab w:val="left" w:pos="2552"/>
        </w:tabs>
        <w:rPr>
          <w:rtl/>
        </w:rPr>
      </w:pPr>
    </w:p>
    <w:p w:rsidR="00B2761D" w:rsidRDefault="00B2761D">
      <w:pPr>
        <w:tabs>
          <w:tab w:val="left" w:pos="2552"/>
        </w:tabs>
      </w:pPr>
    </w:p>
    <w:tbl>
      <w:tblPr>
        <w:bidiVisual/>
        <w:tblW w:w="8363" w:type="dxa"/>
        <w:tblLook w:val="0000" w:firstRow="0" w:lastRow="0" w:firstColumn="0" w:lastColumn="0" w:noHBand="0" w:noVBand="0"/>
      </w:tblPr>
      <w:tblGrid>
        <w:gridCol w:w="8363"/>
      </w:tblGrid>
      <w:tr w:rsidR="00036227" w:rsidTr="00D00B1D">
        <w:tc>
          <w:tcPr>
            <w:tcW w:w="9837" w:type="dxa"/>
          </w:tcPr>
          <w:p w:rsidR="00916FF8" w:rsidRDefault="004F4A11">
            <w:pPr>
              <w:pStyle w:val="DocumentHead"/>
            </w:pPr>
            <w:bookmarkStart w:id="2" w:name="secretary"/>
            <w:bookmarkStart w:id="3" w:name="BeginProtocol"/>
            <w:bookmarkEnd w:id="2"/>
            <w:bookmarkEnd w:id="3"/>
            <w:r>
              <w:rPr>
                <w:rtl/>
              </w:rPr>
              <w:t>פסק-דין</w:t>
            </w:r>
          </w:p>
        </w:tc>
      </w:tr>
    </w:tbl>
    <w:p w:rsidR="0065522F" w:rsidRDefault="0065522F">
      <w:pPr>
        <w:pStyle w:val="BODYVERDICT"/>
      </w:pPr>
    </w:p>
    <w:p w:rsidR="00916FF8" w:rsidRDefault="004F4A11">
      <w:pPr>
        <w:pStyle w:val="BODYVERDICT"/>
        <w:rPr>
          <w:rFonts w:cs="Miriam"/>
          <w:sz w:val="24"/>
          <w:szCs w:val="24"/>
          <w:u w:val="single"/>
          <w:rtl/>
        </w:rPr>
      </w:pPr>
      <w:bookmarkStart w:id="4" w:name="Writer_Name"/>
      <w:bookmarkEnd w:id="4"/>
      <w:r>
        <w:rPr>
          <w:rFonts w:cs="Miriam"/>
          <w:sz w:val="24"/>
          <w:szCs w:val="24"/>
          <w:u w:val="single"/>
          <w:rtl/>
        </w:rPr>
        <w:t>השופט י' עמית:</w:t>
      </w:r>
    </w:p>
    <w:p w:rsidR="00B2761D" w:rsidRDefault="00B2761D" w:rsidP="00B2761D">
      <w:pPr>
        <w:pStyle w:val="Ruller4"/>
        <w:rPr>
          <w:rFonts w:ascii="Century" w:hAnsi="Century"/>
          <w:rtl/>
        </w:rPr>
      </w:pPr>
    </w:p>
    <w:p w:rsidR="001F0B27" w:rsidRDefault="001F0B27" w:rsidP="00C3027B">
      <w:pPr>
        <w:pStyle w:val="Ruller4"/>
        <w:rPr>
          <w:rtl/>
        </w:rPr>
      </w:pPr>
      <w:r>
        <w:rPr>
          <w:rFonts w:hint="cs"/>
          <w:rtl/>
        </w:rPr>
        <w:t>1.</w:t>
      </w:r>
      <w:r>
        <w:rPr>
          <w:rFonts w:hint="cs"/>
          <w:rtl/>
        </w:rPr>
        <w:tab/>
        <w:t>בעתירה שלפנינו ביקשו העותרים מבית המשפט להורות ליתן רישיון הפגנה לעותרים 3-1 בערים אום אל-פחם וס</w:t>
      </w:r>
      <w:r w:rsidR="00D472A3">
        <w:rPr>
          <w:rFonts w:hint="cs"/>
          <w:rtl/>
        </w:rPr>
        <w:t>ח</w:t>
      </w:r>
      <w:r>
        <w:rPr>
          <w:rFonts w:hint="cs"/>
          <w:rtl/>
        </w:rPr>
        <w:t xml:space="preserve">נין, וביקשו להורות על ביטול הנחיית מפכ"ל המשטרה שלטענתם "אוסרת באופן גורף על קיום הפגנות ועצרות מחאה כנגד תקיפת אזרחים בעזה ובכלל בהקשר של המלחמה בעזה". </w:t>
      </w:r>
    </w:p>
    <w:p w:rsidR="001F0B27" w:rsidRDefault="001F0B27" w:rsidP="001F0B27">
      <w:pPr>
        <w:pStyle w:val="Ruller4"/>
        <w:rPr>
          <w:rtl/>
        </w:rPr>
      </w:pPr>
    </w:p>
    <w:p w:rsidR="001F0B27" w:rsidRDefault="001F0B27" w:rsidP="001F0B27">
      <w:pPr>
        <w:pStyle w:val="Ruller4"/>
        <w:rPr>
          <w:rtl/>
        </w:rPr>
      </w:pPr>
    </w:p>
    <w:p w:rsidR="001F0B27" w:rsidRDefault="001F0B27" w:rsidP="001F0B27">
      <w:pPr>
        <w:pStyle w:val="Ruller4"/>
        <w:rPr>
          <w:rFonts w:ascii="Century" w:hAnsi="Century" w:cs="Miriam"/>
          <w:b/>
          <w:spacing w:val="0"/>
          <w:szCs w:val="24"/>
          <w:rtl/>
        </w:rPr>
      </w:pPr>
      <w:r w:rsidRPr="00543537">
        <w:rPr>
          <w:rFonts w:ascii="Century" w:hAnsi="Century" w:cs="Miriam" w:hint="cs"/>
          <w:b/>
          <w:spacing w:val="0"/>
          <w:szCs w:val="24"/>
          <w:rtl/>
        </w:rPr>
        <w:t>פתח דבר</w:t>
      </w:r>
    </w:p>
    <w:p w:rsidR="001F0B27" w:rsidRPr="00543537" w:rsidRDefault="001F0B27" w:rsidP="001F0B27">
      <w:pPr>
        <w:pStyle w:val="Ruller4"/>
        <w:rPr>
          <w:rFonts w:ascii="Century" w:hAnsi="Century" w:cs="Miriam"/>
          <w:b/>
          <w:spacing w:val="0"/>
          <w:szCs w:val="24"/>
          <w:rtl/>
        </w:rPr>
      </w:pPr>
    </w:p>
    <w:p w:rsidR="001F0B27" w:rsidRDefault="001F0B27" w:rsidP="001F0B27">
      <w:pPr>
        <w:pStyle w:val="Ruller4"/>
        <w:rPr>
          <w:rtl/>
        </w:rPr>
      </w:pPr>
      <w:r>
        <w:rPr>
          <w:rFonts w:hint="cs"/>
          <w:rtl/>
        </w:rPr>
        <w:t>2.</w:t>
      </w:r>
      <w:r>
        <w:rPr>
          <w:rFonts w:hint="cs"/>
          <w:rtl/>
        </w:rPr>
        <w:tab/>
        <w:t xml:space="preserve">הימים הם ימי מלחמת "חרבות ברזל", השבעה באוקטובר, אותה שבת שחורה שבמהלכה פלשו אלפי פעילי חמאס והג'יהאד האסלאמי לשטח ישראל מן היבשה, האוויר והים וביצעו טבח באזרחים, כולל תינוקות, ילדים, נשים וקשישים, וביצעו פיגועי חטיפה ולקיחת בני ערובה. למעלה מ-1,400 בני אדם נרצחו, למעלה מ-4,000 בני אדם נפצעו וכ-240 איש נחטפו אל תוך רצועת עזה. כל זאת, תוך ירי מאסיבי של רקטות ופצצות מרגמה לעבר ערי ישראל. </w:t>
      </w:r>
    </w:p>
    <w:p w:rsidR="001F0B27" w:rsidRDefault="001F0B27" w:rsidP="001F0B27">
      <w:pPr>
        <w:pStyle w:val="Ruller5"/>
        <w:rPr>
          <w:rtl/>
        </w:rPr>
      </w:pPr>
    </w:p>
    <w:p w:rsidR="001F0B27" w:rsidRDefault="001F0B27" w:rsidP="001F0B27">
      <w:pPr>
        <w:pStyle w:val="Ruller5"/>
        <w:rPr>
          <w:rtl/>
        </w:rPr>
      </w:pPr>
      <w:r>
        <w:rPr>
          <w:rFonts w:hint="cs"/>
          <w:rtl/>
        </w:rPr>
        <w:t xml:space="preserve">"בימים נוראים אלה, מנהלת מדינת ישראל מערכה קשה נגד מבקשי נפשה מארגון חמאס השולט ברצועת עזה, אשר שלח את מרצחיו, ועימו 'ערב רב', אספסוף צמא-דם, בבוקר יום 7.10.2023 (חג שמחת תורה) </w:t>
      </w:r>
      <w:r>
        <w:rPr>
          <w:rtl/>
        </w:rPr>
        <w:t>–</w:t>
      </w:r>
      <w:r>
        <w:rPr>
          <w:rFonts w:hint="cs"/>
          <w:rtl/>
        </w:rPr>
        <w:t xml:space="preserve"> להשמיד להרוג ולאבד, מנער ועד זקן, טף ונשים" (בג"ץ 7439/23 </w:t>
      </w:r>
      <w:r w:rsidRPr="00030C7F">
        <w:rPr>
          <w:rFonts w:ascii="Century" w:hAnsi="Century" w:cs="Miriam" w:hint="cs"/>
          <w:b/>
          <w:spacing w:val="0"/>
          <w:szCs w:val="24"/>
          <w:rtl/>
        </w:rPr>
        <w:t>גידאן נ' המפקד הצבאי לאזור הגדה המערבית</w:t>
      </w:r>
      <w:r>
        <w:rPr>
          <w:rFonts w:hint="cs"/>
          <w:rtl/>
        </w:rPr>
        <w:t xml:space="preserve"> בפסקה 8 (11.10.2023)). </w:t>
      </w:r>
    </w:p>
    <w:p w:rsidR="001F0B27" w:rsidRDefault="001F0B27" w:rsidP="001F0B27">
      <w:pPr>
        <w:pStyle w:val="Ruller4"/>
        <w:rPr>
          <w:rtl/>
        </w:rPr>
      </w:pPr>
    </w:p>
    <w:p w:rsidR="001F0B27" w:rsidRDefault="001F0B27" w:rsidP="001F0B27">
      <w:pPr>
        <w:pStyle w:val="Ruller4"/>
        <w:rPr>
          <w:rtl/>
        </w:rPr>
      </w:pPr>
      <w:r>
        <w:rPr>
          <w:rtl/>
        </w:rPr>
        <w:tab/>
      </w:r>
      <w:r>
        <w:rPr>
          <w:rFonts w:hint="cs"/>
          <w:rtl/>
        </w:rPr>
        <w:t xml:space="preserve">ימים קשים עוברים על אזרחי ישראל, האבלים על קרבנות טבח הדמים והלחימה, ועוקבים בדאגה ובחרדה לשלומם של יקיריהם הנלחמים ברצועת עזה ובגבול הצפון ושומרים על גבולות המדינה. אך גם בימים רגישים וקשים אלה, שמא דווקא בימים אלה, וגם בסערת הרגשות ובאווירה הטעונה של מלחמה, נדרשים אנו לשמור על זכויות יסוד של אזרחי המדינה. כך היה בימי מגפה (בג"ץ 5469/20 </w:t>
      </w:r>
      <w:r w:rsidRPr="00016933">
        <w:rPr>
          <w:rFonts w:ascii="Century" w:hAnsi="Century" w:cs="Miriam" w:hint="cs"/>
          <w:b/>
          <w:spacing w:val="0"/>
          <w:szCs w:val="24"/>
          <w:rtl/>
        </w:rPr>
        <w:t>אחריות לאומית ישראל הבית שלי נ' ממשלת ישראל</w:t>
      </w:r>
      <w:r>
        <w:rPr>
          <w:rFonts w:hint="cs"/>
          <w:rtl/>
        </w:rPr>
        <w:t xml:space="preserve"> (4.4.2021)), וכך בימי מלחמה.</w:t>
      </w:r>
    </w:p>
    <w:p w:rsidR="001F0B27" w:rsidRDefault="001F0B27" w:rsidP="001F0B27">
      <w:pPr>
        <w:pStyle w:val="Ruller4"/>
        <w:rPr>
          <w:rtl/>
        </w:rPr>
      </w:pPr>
    </w:p>
    <w:p w:rsidR="001F0B27" w:rsidRDefault="001F0B27" w:rsidP="001F0B27">
      <w:pPr>
        <w:pStyle w:val="Ruller4"/>
        <w:rPr>
          <w:rFonts w:ascii="Century" w:hAnsi="Century" w:cs="Miriam"/>
          <w:b/>
          <w:spacing w:val="0"/>
          <w:szCs w:val="24"/>
          <w:rtl/>
        </w:rPr>
      </w:pPr>
      <w:r w:rsidRPr="00543537">
        <w:rPr>
          <w:rFonts w:ascii="Century" w:hAnsi="Century" w:cs="Miriam" w:hint="cs"/>
          <w:b/>
          <w:spacing w:val="0"/>
          <w:szCs w:val="24"/>
          <w:rtl/>
        </w:rPr>
        <w:t xml:space="preserve">חירות ההפגנה </w:t>
      </w:r>
    </w:p>
    <w:p w:rsidR="001F0B27" w:rsidRPr="00543537" w:rsidRDefault="001F0B27" w:rsidP="001F0B27">
      <w:pPr>
        <w:pStyle w:val="Ruller4"/>
        <w:rPr>
          <w:rFonts w:ascii="Century" w:hAnsi="Century" w:cs="Miriam"/>
          <w:b/>
          <w:spacing w:val="0"/>
          <w:szCs w:val="24"/>
          <w:rtl/>
        </w:rPr>
      </w:pPr>
    </w:p>
    <w:p w:rsidR="001F0B27" w:rsidRDefault="001F0B27" w:rsidP="001F0B27">
      <w:pPr>
        <w:pStyle w:val="Ruller4"/>
        <w:rPr>
          <w:rtl/>
        </w:rPr>
      </w:pPr>
      <w:r>
        <w:rPr>
          <w:rFonts w:hint="cs"/>
          <w:rtl/>
        </w:rPr>
        <w:t>3.</w:t>
      </w:r>
      <w:r>
        <w:rPr>
          <w:rFonts w:hint="cs"/>
          <w:rtl/>
        </w:rPr>
        <w:tab/>
        <w:t xml:space="preserve">נפתח במושכלות יסוד: חופש ההפגנה והתהלוכה, כחלק מחופש המחאה, הם חלק בלתי נפרד מחופש הביטוי שהוכר כזכות יסוד חוקתית. חופש הביטוי אינו שייך רק למחנה אחד או לצד אחד של המפה הפוליטית, והוא נועד להגן לא רק על דעות מקובלות ואהודות, אלא גם "על דעות חריגות, מקוממות ומכעיסות, המושמעות על רקע מאורעות מסעירים ובסגנון בוטה וצורם" (בג"ץ 2888/97 </w:t>
      </w:r>
      <w:r w:rsidRPr="008914F4">
        <w:rPr>
          <w:rFonts w:ascii="Century" w:hAnsi="Century" w:cs="Miriam" w:hint="cs"/>
          <w:b/>
          <w:spacing w:val="0"/>
          <w:szCs w:val="24"/>
          <w:rtl/>
        </w:rPr>
        <w:t>נוביק נ' הרשות השניה לטלוויזיה ולרדיו</w:t>
      </w:r>
      <w:r>
        <w:rPr>
          <w:rFonts w:hint="cs"/>
          <w:rtl/>
        </w:rPr>
        <w:t xml:space="preserve">, פ"ד נא(5) 193, עמ' 201 והאסמכתאות שם (1997)). </w:t>
      </w:r>
    </w:p>
    <w:p w:rsidR="001F0B27" w:rsidRDefault="001F0B27" w:rsidP="001F0B27">
      <w:pPr>
        <w:pStyle w:val="Ruller4"/>
        <w:rPr>
          <w:rtl/>
        </w:rPr>
      </w:pPr>
    </w:p>
    <w:p w:rsidR="001F0B27" w:rsidRDefault="001F0B27" w:rsidP="001F0B27">
      <w:pPr>
        <w:pStyle w:val="Ruller4"/>
        <w:rPr>
          <w:rtl/>
        </w:rPr>
      </w:pPr>
      <w:r>
        <w:rPr>
          <w:rFonts w:hint="cs"/>
          <w:rtl/>
        </w:rPr>
        <w:t>4.</w:t>
      </w:r>
      <w:r>
        <w:rPr>
          <w:rFonts w:hint="cs"/>
          <w:rtl/>
        </w:rPr>
        <w:tab/>
        <w:t>המסגרת הנורמטיבית בחקיקה הרלוונטית לנושא שלפנינו היא כלהלן:</w:t>
      </w:r>
    </w:p>
    <w:p w:rsidR="001F0B27" w:rsidRDefault="001F0B27" w:rsidP="001F0B27">
      <w:pPr>
        <w:pStyle w:val="Ruller4"/>
        <w:rPr>
          <w:rtl/>
        </w:rPr>
      </w:pPr>
    </w:p>
    <w:p w:rsidR="001F0B27" w:rsidRPr="00430CCB" w:rsidRDefault="001F0B27" w:rsidP="001F0B27">
      <w:pPr>
        <w:pStyle w:val="Ruller4"/>
        <w:rPr>
          <w:rFonts w:ascii="Century" w:hAnsi="Century"/>
          <w:rtl/>
        </w:rPr>
      </w:pPr>
      <w:r>
        <w:rPr>
          <w:rFonts w:ascii="Century" w:hAnsi="Century" w:cs="Miriam"/>
          <w:b/>
          <w:spacing w:val="0"/>
          <w:szCs w:val="24"/>
          <w:rtl/>
        </w:rPr>
        <w:lastRenderedPageBreak/>
        <w:tab/>
      </w:r>
      <w:r w:rsidRPr="00D439C8">
        <w:rPr>
          <w:rFonts w:ascii="Century" w:hAnsi="Century" w:hint="cs"/>
          <w:rtl/>
        </w:rPr>
        <w:t>(-)</w:t>
      </w:r>
      <w:r>
        <w:rPr>
          <w:rFonts w:ascii="Century" w:hAnsi="Century" w:cs="Miriam" w:hint="cs"/>
          <w:b/>
          <w:spacing w:val="0"/>
          <w:szCs w:val="24"/>
          <w:rtl/>
        </w:rPr>
        <w:t xml:space="preserve"> </w:t>
      </w:r>
      <w:r w:rsidRPr="00BB7358">
        <w:rPr>
          <w:rFonts w:ascii="Century" w:hAnsi="Century" w:cs="Miriam" w:hint="cs"/>
          <w:b/>
          <w:spacing w:val="0"/>
          <w:szCs w:val="24"/>
          <w:rtl/>
        </w:rPr>
        <w:t xml:space="preserve">סעיפים 5-3 לפקודת </w:t>
      </w:r>
      <w:r w:rsidRPr="00BE5220">
        <w:rPr>
          <w:rFonts w:ascii="Century" w:hAnsi="Century" w:cs="Miriam" w:hint="cs"/>
          <w:b/>
          <w:spacing w:val="0"/>
          <w:szCs w:val="24"/>
          <w:rtl/>
        </w:rPr>
        <w:t>המשטרה</w:t>
      </w:r>
      <w:r w:rsidRPr="00430CCB">
        <w:rPr>
          <w:rFonts w:ascii="Century" w:hAnsi="Century" w:cs="Miriam"/>
          <w:b/>
          <w:spacing w:val="0"/>
          <w:szCs w:val="24"/>
          <w:rtl/>
        </w:rPr>
        <w:t xml:space="preserve"> [נוסח חדש], </w:t>
      </w:r>
      <w:r w:rsidRPr="00430CCB">
        <w:rPr>
          <w:rFonts w:ascii="Century" w:hAnsi="Century" w:cs="Miriam" w:hint="eastAsia"/>
          <w:b/>
          <w:spacing w:val="0"/>
          <w:szCs w:val="24"/>
          <w:rtl/>
        </w:rPr>
        <w:t>התשל</w:t>
      </w:r>
      <w:r w:rsidRPr="00430CCB">
        <w:rPr>
          <w:rFonts w:ascii="Century" w:hAnsi="Century" w:cs="Miriam"/>
          <w:b/>
          <w:spacing w:val="0"/>
          <w:szCs w:val="24"/>
          <w:rtl/>
        </w:rPr>
        <w:t>"</w:t>
      </w:r>
      <w:r w:rsidRPr="00BE5220">
        <w:rPr>
          <w:rFonts w:ascii="Century" w:hAnsi="Century" w:cs="Miriam" w:hint="cs"/>
          <w:b/>
          <w:spacing w:val="0"/>
          <w:szCs w:val="24"/>
          <w:rtl/>
        </w:rPr>
        <w:t>א</w:t>
      </w:r>
      <w:r>
        <w:rPr>
          <w:rFonts w:ascii="Century" w:hAnsi="Century" w:cs="Miriam" w:hint="cs"/>
          <w:b/>
          <w:spacing w:val="0"/>
          <w:szCs w:val="24"/>
          <w:rtl/>
        </w:rPr>
        <w:t>-</w:t>
      </w:r>
      <w:r w:rsidRPr="00430CCB">
        <w:rPr>
          <w:rFonts w:ascii="Century" w:hAnsi="Century" w:cs="Miriam"/>
          <w:b/>
          <w:spacing w:val="0"/>
          <w:szCs w:val="24"/>
          <w:rtl/>
        </w:rPr>
        <w:t>1971</w:t>
      </w:r>
      <w:r>
        <w:rPr>
          <w:rFonts w:hint="cs"/>
          <w:rtl/>
        </w:rPr>
        <w:t xml:space="preserve"> (להלן: </w:t>
      </w:r>
      <w:r w:rsidRPr="00430CCB">
        <w:rPr>
          <w:rFonts w:ascii="Century" w:hAnsi="Century" w:cs="Miriam" w:hint="eastAsia"/>
          <w:b/>
          <w:spacing w:val="0"/>
          <w:szCs w:val="24"/>
          <w:rtl/>
        </w:rPr>
        <w:t>פקודת</w:t>
      </w:r>
      <w:r w:rsidRPr="00430CCB">
        <w:rPr>
          <w:rFonts w:ascii="Century" w:hAnsi="Century" w:cs="Miriam"/>
          <w:b/>
          <w:spacing w:val="0"/>
          <w:szCs w:val="24"/>
          <w:rtl/>
        </w:rPr>
        <w:t xml:space="preserve"> </w:t>
      </w:r>
      <w:r w:rsidRPr="00430CCB">
        <w:rPr>
          <w:rFonts w:ascii="Century" w:hAnsi="Century" w:cs="Miriam" w:hint="eastAsia"/>
          <w:b/>
          <w:spacing w:val="0"/>
          <w:szCs w:val="24"/>
          <w:rtl/>
        </w:rPr>
        <w:t>המשטרה</w:t>
      </w:r>
      <w:r>
        <w:rPr>
          <w:rFonts w:hint="cs"/>
          <w:rtl/>
        </w:rPr>
        <w:t>): בסעיפים אלה אנו מוצאים קביעה של הסמכויות הכלליות של המשטרה בכל הנוגע ל</w:t>
      </w:r>
      <w:r w:rsidRPr="00430CCB">
        <w:rPr>
          <w:rStyle w:val="default"/>
          <w:rFonts w:ascii="Century" w:hAnsi="Century"/>
          <w:rtl/>
        </w:rPr>
        <w:t>"</w:t>
      </w:r>
      <w:r w:rsidRPr="00BE5220">
        <w:rPr>
          <w:rStyle w:val="default"/>
          <w:rFonts w:ascii="Century" w:hAnsi="Century" w:hint="cs"/>
          <w:rtl/>
        </w:rPr>
        <w:t>קיום הסדר הציבורי ובטחון הנפש והרכוש"</w:t>
      </w:r>
      <w:r w:rsidRPr="00430CCB">
        <w:rPr>
          <w:rFonts w:ascii="Century" w:hAnsi="Century"/>
          <w:rtl/>
        </w:rPr>
        <w:t xml:space="preserve"> כמפורט בסעיפים אלה.</w:t>
      </w:r>
    </w:p>
    <w:p w:rsidR="001F0B27" w:rsidRDefault="001F0B27" w:rsidP="001F0B27">
      <w:pPr>
        <w:pStyle w:val="Ruller4"/>
        <w:rPr>
          <w:rtl/>
        </w:rPr>
      </w:pPr>
    </w:p>
    <w:p w:rsidR="001F0B27" w:rsidRDefault="001F0B27" w:rsidP="001F0B27">
      <w:pPr>
        <w:pStyle w:val="Ruller4"/>
        <w:rPr>
          <w:rtl/>
        </w:rPr>
      </w:pPr>
      <w:r>
        <w:rPr>
          <w:rFonts w:ascii="Century" w:hAnsi="Century" w:cs="Miriam"/>
          <w:b/>
          <w:spacing w:val="0"/>
          <w:szCs w:val="24"/>
          <w:rtl/>
        </w:rPr>
        <w:tab/>
      </w:r>
      <w:r w:rsidRPr="00D439C8">
        <w:rPr>
          <w:rFonts w:ascii="Century" w:hAnsi="Century" w:hint="cs"/>
          <w:rtl/>
        </w:rPr>
        <w:t>(-)</w:t>
      </w:r>
      <w:r>
        <w:rPr>
          <w:rFonts w:ascii="Century" w:hAnsi="Century" w:hint="cs"/>
          <w:rtl/>
        </w:rPr>
        <w:t xml:space="preserve"> </w:t>
      </w:r>
      <w:r w:rsidRPr="00BB7358">
        <w:rPr>
          <w:rFonts w:ascii="Century" w:hAnsi="Century" w:cs="Miriam" w:hint="cs"/>
          <w:b/>
          <w:spacing w:val="0"/>
          <w:szCs w:val="24"/>
          <w:rtl/>
        </w:rPr>
        <w:t>סעיפים 84-83 לפקודת המשטרה</w:t>
      </w:r>
      <w:r>
        <w:rPr>
          <w:rFonts w:hint="cs"/>
          <w:rtl/>
        </w:rPr>
        <w:t>: אלו</w:t>
      </w:r>
      <w:r w:rsidRPr="00BB7358">
        <w:rPr>
          <w:rFonts w:hint="cs"/>
          <w:rtl/>
        </w:rPr>
        <w:t xml:space="preserve"> </w:t>
      </w:r>
      <w:r>
        <w:rPr>
          <w:rFonts w:hint="cs"/>
          <w:rtl/>
        </w:rPr>
        <w:t xml:space="preserve">קובעים כי אין לקיים אסיפה או תהלוכה ללא רישיון, בהתקיים התנאים הבאים: כאשר מדובר באסיפה </w:t>
      </w:r>
      <w:r>
        <w:rPr>
          <w:rtl/>
        </w:rPr>
        <w:t>–</w:t>
      </w:r>
      <w:r>
        <w:rPr>
          <w:rFonts w:hint="cs"/>
          <w:rtl/>
        </w:rPr>
        <w:t xml:space="preserve"> 50 איש ומעלה המתאספים תחת כיפת השמיים כדי לשמוע נאום או הרצאה על נושא </w:t>
      </w:r>
      <w:r w:rsidRPr="007800B9">
        <w:rPr>
          <w:rFonts w:ascii="Century" w:hAnsi="Century" w:cs="Miriam" w:hint="cs"/>
          <w:b/>
          <w:spacing w:val="0"/>
          <w:szCs w:val="24"/>
          <w:rtl/>
        </w:rPr>
        <w:t>בעל עניין מדיני</w:t>
      </w:r>
      <w:r>
        <w:rPr>
          <w:rFonts w:hint="cs"/>
          <w:rtl/>
        </w:rPr>
        <w:t xml:space="preserve">. כאשר מדובר בתהלוכה </w:t>
      </w:r>
      <w:r>
        <w:rPr>
          <w:rtl/>
        </w:rPr>
        <w:t>–</w:t>
      </w:r>
      <w:r>
        <w:rPr>
          <w:rFonts w:hint="cs"/>
          <w:rtl/>
        </w:rPr>
        <w:t xml:space="preserve"> 50 איש ומעלה המהלכים יחד תחת כיפת השמיים או המתקהלים כדי להלך ממקום למקום. ודוק: כאשר מדובר בתהלוכה, גם אם זו אינה בעניין מדיני.</w:t>
      </w:r>
    </w:p>
    <w:p w:rsidR="001F0B27" w:rsidRDefault="001F0B27" w:rsidP="001F0B27">
      <w:pPr>
        <w:pStyle w:val="Ruller4"/>
        <w:rPr>
          <w:rtl/>
        </w:rPr>
      </w:pPr>
      <w:r>
        <w:rPr>
          <w:rFonts w:hint="cs"/>
          <w:rtl/>
        </w:rPr>
        <w:t xml:space="preserve"> </w:t>
      </w:r>
    </w:p>
    <w:p w:rsidR="001F0B27" w:rsidRDefault="001F0B27" w:rsidP="001F0B27">
      <w:pPr>
        <w:pStyle w:val="Ruller4"/>
        <w:rPr>
          <w:rtl/>
        </w:rPr>
      </w:pPr>
      <w:r>
        <w:rPr>
          <w:rtl/>
        </w:rPr>
        <w:tab/>
      </w:r>
      <w:r>
        <w:rPr>
          <w:rFonts w:hint="cs"/>
          <w:rtl/>
        </w:rPr>
        <w:t xml:space="preserve">בבג"ץ 6536/17 </w:t>
      </w:r>
      <w:r w:rsidRPr="00430CCB">
        <w:rPr>
          <w:rFonts w:ascii="Century" w:hAnsi="Century" w:cs="Miriam" w:hint="eastAsia"/>
          <w:b/>
          <w:spacing w:val="0"/>
          <w:szCs w:val="24"/>
          <w:rtl/>
        </w:rPr>
        <w:t>התנועה</w:t>
      </w:r>
      <w:r w:rsidRPr="00430CCB">
        <w:rPr>
          <w:rFonts w:ascii="Century" w:hAnsi="Century" w:cs="Miriam"/>
          <w:b/>
          <w:spacing w:val="0"/>
          <w:szCs w:val="24"/>
          <w:rtl/>
        </w:rPr>
        <w:t xml:space="preserve"> </w:t>
      </w:r>
      <w:r w:rsidRPr="00430CCB">
        <w:rPr>
          <w:rFonts w:ascii="Century" w:hAnsi="Century" w:cs="Miriam" w:hint="eastAsia"/>
          <w:b/>
          <w:spacing w:val="0"/>
          <w:szCs w:val="24"/>
          <w:rtl/>
        </w:rPr>
        <w:t>לאיכות</w:t>
      </w:r>
      <w:r w:rsidRPr="00430CCB">
        <w:rPr>
          <w:rFonts w:ascii="Century" w:hAnsi="Century" w:cs="Miriam"/>
          <w:b/>
          <w:spacing w:val="0"/>
          <w:szCs w:val="24"/>
          <w:rtl/>
        </w:rPr>
        <w:t xml:space="preserve"> </w:t>
      </w:r>
      <w:r w:rsidRPr="00430CCB">
        <w:rPr>
          <w:rFonts w:ascii="Century" w:hAnsi="Century" w:cs="Miriam" w:hint="eastAsia"/>
          <w:b/>
          <w:spacing w:val="0"/>
          <w:szCs w:val="24"/>
          <w:rtl/>
        </w:rPr>
        <w:t>השלטון</w:t>
      </w:r>
      <w:r w:rsidRPr="00430CCB">
        <w:rPr>
          <w:rFonts w:ascii="Century" w:hAnsi="Century" w:cs="Miriam"/>
          <w:b/>
          <w:spacing w:val="0"/>
          <w:szCs w:val="24"/>
          <w:rtl/>
        </w:rPr>
        <w:t xml:space="preserve"> </w:t>
      </w:r>
      <w:r w:rsidRPr="00430CCB">
        <w:rPr>
          <w:rFonts w:ascii="Century" w:hAnsi="Century" w:cs="Miriam" w:hint="eastAsia"/>
          <w:b/>
          <w:spacing w:val="0"/>
          <w:szCs w:val="24"/>
          <w:rtl/>
        </w:rPr>
        <w:t>נ</w:t>
      </w:r>
      <w:r w:rsidRPr="00430CCB">
        <w:rPr>
          <w:rFonts w:ascii="Century" w:hAnsi="Century" w:cs="Miriam"/>
          <w:b/>
          <w:spacing w:val="0"/>
          <w:szCs w:val="24"/>
          <w:rtl/>
        </w:rPr>
        <w:t xml:space="preserve">' </w:t>
      </w:r>
      <w:r w:rsidRPr="00430CCB">
        <w:rPr>
          <w:rFonts w:ascii="Century" w:hAnsi="Century" w:cs="Miriam" w:hint="eastAsia"/>
          <w:b/>
          <w:spacing w:val="0"/>
          <w:szCs w:val="24"/>
          <w:rtl/>
        </w:rPr>
        <w:t>משטרת</w:t>
      </w:r>
      <w:r w:rsidRPr="00430CCB">
        <w:rPr>
          <w:rFonts w:ascii="Century" w:hAnsi="Century" w:cs="Miriam"/>
          <w:b/>
          <w:spacing w:val="0"/>
          <w:szCs w:val="24"/>
          <w:rtl/>
        </w:rPr>
        <w:t xml:space="preserve"> </w:t>
      </w:r>
      <w:r w:rsidRPr="00430CCB">
        <w:rPr>
          <w:rFonts w:ascii="Century" w:hAnsi="Century" w:cs="Miriam" w:hint="eastAsia"/>
          <w:b/>
          <w:spacing w:val="0"/>
          <w:szCs w:val="24"/>
          <w:rtl/>
        </w:rPr>
        <w:t>ישראל</w:t>
      </w:r>
      <w:r>
        <w:rPr>
          <w:rFonts w:hint="cs"/>
          <w:rtl/>
        </w:rPr>
        <w:t xml:space="preserve"> (8.10.2017) (להלן: עניין </w:t>
      </w:r>
      <w:r w:rsidRPr="008914F4">
        <w:rPr>
          <w:rFonts w:ascii="Century" w:hAnsi="Century" w:cs="Miriam" w:hint="cs"/>
          <w:b/>
          <w:spacing w:val="0"/>
          <w:szCs w:val="24"/>
          <w:rtl/>
        </w:rPr>
        <w:t>כיכר גורן</w:t>
      </w:r>
      <w:r>
        <w:rPr>
          <w:rFonts w:hint="cs"/>
          <w:rtl/>
        </w:rPr>
        <w:t xml:space="preserve">), נקבע כי לעניין אסיפה (להבדיל מתהלוכה) יש ליתן למונח "עניין מדיני" או "פוליטי" פרשנות מצמצמת וצרה, קרי, רק כאשר נושא האסיפה הוא מדיני-פוליטי "במובן הצר של מונחים אלו". נושא זה אינו מתעורר בענייננו, הן משום שהתבקשה תהלוכה באום אלפחם, הן מעצם העובדה שהעותרים פנו בבקשה לקבל רישיון. </w:t>
      </w:r>
      <w:r w:rsidRPr="00061EDC">
        <w:rPr>
          <w:rFonts w:hint="cs"/>
          <w:rtl/>
        </w:rPr>
        <w:t xml:space="preserve">בכל מקרה, ומבלי לקבוע מסמרות, </w:t>
      </w:r>
      <w:r>
        <w:rPr>
          <w:rFonts w:hint="cs"/>
          <w:rtl/>
        </w:rPr>
        <w:t>דומה כ</w:t>
      </w:r>
      <w:r w:rsidRPr="00061EDC">
        <w:rPr>
          <w:rFonts w:hint="cs"/>
          <w:rtl/>
        </w:rPr>
        <w:t xml:space="preserve">י סוגיות בנושאי יחסי חוץ וביטחון נכללות בגדר מונח זה, וכפי שנאמר על ידי השופט </w:t>
      </w:r>
      <w:r w:rsidRPr="00061EDC">
        <w:rPr>
          <w:rFonts w:ascii="Century" w:hAnsi="Century" w:cs="Miriam" w:hint="cs"/>
          <w:b/>
          <w:spacing w:val="0"/>
          <w:szCs w:val="24"/>
          <w:rtl/>
        </w:rPr>
        <w:t>דנציגר</w:t>
      </w:r>
      <w:r w:rsidRPr="00061EDC">
        <w:rPr>
          <w:rFonts w:hint="cs"/>
          <w:rtl/>
        </w:rPr>
        <w:t xml:space="preserve"> בפסקה 5 לפסק דינו בענין </w:t>
      </w:r>
      <w:r w:rsidRPr="00061EDC">
        <w:rPr>
          <w:rFonts w:ascii="Century" w:hAnsi="Century" w:cs="Miriam" w:hint="cs"/>
          <w:b/>
          <w:spacing w:val="0"/>
          <w:szCs w:val="24"/>
          <w:rtl/>
        </w:rPr>
        <w:t>כיכר גורן</w:t>
      </w:r>
      <w:r w:rsidRPr="00061EDC">
        <w:rPr>
          <w:rFonts w:hint="cs"/>
          <w:rtl/>
        </w:rPr>
        <w:t>: "</w:t>
      </w:r>
      <w:r w:rsidRPr="00061EDC">
        <w:rPr>
          <w:rFonts w:hint="cs"/>
          <w:sz w:val="28"/>
          <w:rtl/>
        </w:rPr>
        <w:t>מתקשה אני למצוא שוני רלבנטי בין הפגנה שעניינה ביחסי החוץ והביטחון של המדינה (שהיא כביכול בעניין 'מדיני');</w:t>
      </w:r>
      <w:r w:rsidRPr="00061EDC">
        <w:rPr>
          <w:rFonts w:ascii="FrankRuehl" w:hAnsi="FrankRuehl" w:hint="cs"/>
          <w:color w:val="000000"/>
          <w:sz w:val="28"/>
          <w:rtl/>
        </w:rPr>
        <w:t xml:space="preserve"> </w:t>
      </w:r>
      <w:r w:rsidRPr="00061EDC">
        <w:rPr>
          <w:rFonts w:ascii="FrankRuehl" w:hAnsi="FrankRuehl"/>
          <w:color w:val="000000"/>
          <w:sz w:val="28"/>
          <w:rtl/>
        </w:rPr>
        <w:t>לבין הפגנה שעניינה בביקורת על השלטון ונוהגיו (שהיא כביכול בעניין "פוליטי")</w:t>
      </w:r>
      <w:r w:rsidRPr="00061EDC">
        <w:rPr>
          <w:rFonts w:hint="cs"/>
          <w:rtl/>
        </w:rPr>
        <w:t>"</w:t>
      </w:r>
      <w:r>
        <w:rPr>
          <w:rFonts w:hint="cs"/>
          <w:rtl/>
        </w:rPr>
        <w:t xml:space="preserve">. עוד אציין כי ההפגנות נושא העתירה </w:t>
      </w:r>
      <w:r w:rsidRPr="00061EDC">
        <w:rPr>
          <w:rFonts w:hint="cs"/>
          <w:rtl/>
        </w:rPr>
        <w:t xml:space="preserve">מאורגנות על ידי </w:t>
      </w:r>
      <w:r>
        <w:rPr>
          <w:rFonts w:hint="cs"/>
          <w:rtl/>
        </w:rPr>
        <w:t xml:space="preserve">גוף </w:t>
      </w:r>
      <w:r w:rsidRPr="00061EDC">
        <w:rPr>
          <w:rFonts w:hint="cs"/>
          <w:rtl/>
        </w:rPr>
        <w:t>פוליטי, ה</w:t>
      </w:r>
      <w:r>
        <w:rPr>
          <w:rFonts w:hint="cs"/>
          <w:rtl/>
        </w:rPr>
        <w:t>ו</w:t>
      </w:r>
      <w:r w:rsidRPr="00061EDC">
        <w:rPr>
          <w:rFonts w:hint="cs"/>
          <w:rtl/>
        </w:rPr>
        <w:t>א העותרת 1, מפלגת חד"ש.</w:t>
      </w:r>
      <w:r>
        <w:rPr>
          <w:rFonts w:hint="cs"/>
          <w:rtl/>
        </w:rPr>
        <w:t xml:space="preserve"> </w:t>
      </w:r>
    </w:p>
    <w:p w:rsidR="001F0B27" w:rsidRDefault="001F0B27" w:rsidP="001F0B27">
      <w:pPr>
        <w:pStyle w:val="Ruller4"/>
        <w:rPr>
          <w:rtl/>
        </w:rPr>
      </w:pPr>
    </w:p>
    <w:p w:rsidR="001F0B27" w:rsidRDefault="001F0B27" w:rsidP="001F0B27">
      <w:pPr>
        <w:pStyle w:val="Ruller4"/>
        <w:rPr>
          <w:rtl/>
        </w:rPr>
      </w:pPr>
      <w:r>
        <w:rPr>
          <w:rFonts w:ascii="Century" w:hAnsi="Century"/>
          <w:rtl/>
        </w:rPr>
        <w:tab/>
      </w:r>
      <w:r w:rsidRPr="00D439C8">
        <w:rPr>
          <w:rFonts w:ascii="Century" w:hAnsi="Century" w:hint="cs"/>
          <w:rtl/>
        </w:rPr>
        <w:t>(-)</w:t>
      </w:r>
      <w:r>
        <w:rPr>
          <w:rFonts w:hint="cs"/>
        </w:rPr>
        <w:t xml:space="preserve"> </w:t>
      </w:r>
      <w:r w:rsidRPr="00EE0222">
        <w:rPr>
          <w:rFonts w:ascii="Century" w:hAnsi="Century" w:cs="Miriam" w:hint="cs"/>
          <w:b/>
          <w:spacing w:val="0"/>
          <w:szCs w:val="24"/>
          <w:rtl/>
        </w:rPr>
        <w:t>חוק הבטיחות במקומות ציבוריים, התשכ"ג-1962</w:t>
      </w:r>
      <w:r>
        <w:rPr>
          <w:rFonts w:hint="cs"/>
          <w:rtl/>
        </w:rPr>
        <w:t>: על פי חוק זה, הפגנה שמספר המשתתפים בה עולה על 500 איש היא בגדר "עצרת עם", ועל מארגן הפגנה כאמור חלות החובות האמורות בחוק זה ובתקנות הבטיחות במקומות ציבוריים (אסיפות), התשמ"ט-1989.  (יצויין כי לפי הגדרת המונח "עצרת עם" בסעיף 1 לחוק האמור, אין היא כוללת אסיפה שלעריכתה ניתן רישיון או היתר לפי חיקוק אחר).</w:t>
      </w:r>
    </w:p>
    <w:p w:rsidR="001F0B27" w:rsidRDefault="001F0B27" w:rsidP="001F0B27">
      <w:pPr>
        <w:pStyle w:val="Ruller4"/>
        <w:rPr>
          <w:rtl/>
        </w:rPr>
      </w:pPr>
    </w:p>
    <w:p w:rsidR="001F0B27" w:rsidRDefault="001F0B27" w:rsidP="00D472A3">
      <w:pPr>
        <w:pStyle w:val="Ruller4"/>
        <w:rPr>
          <w:rtl/>
        </w:rPr>
      </w:pPr>
      <w:r>
        <w:rPr>
          <w:rtl/>
        </w:rPr>
        <w:tab/>
      </w:r>
      <w:r w:rsidRPr="00D439C8">
        <w:rPr>
          <w:rFonts w:ascii="Century" w:hAnsi="Century" w:hint="cs"/>
          <w:rtl/>
        </w:rPr>
        <w:t>(-)</w:t>
      </w:r>
      <w:r>
        <w:rPr>
          <w:rFonts w:ascii="Century" w:hAnsi="Century" w:hint="cs"/>
          <w:rtl/>
        </w:rPr>
        <w:t xml:space="preserve"> </w:t>
      </w:r>
      <w:r w:rsidRPr="00D472A3">
        <w:rPr>
          <w:rFonts w:ascii="Century" w:hAnsi="Century" w:cs="Miriam" w:hint="cs"/>
          <w:b/>
          <w:spacing w:val="0"/>
          <w:szCs w:val="24"/>
          <w:rtl/>
        </w:rPr>
        <w:t>סעיף 151 לחוק העונשין, התשל"ז-1977</w:t>
      </w:r>
      <w:r w:rsidR="0071330D">
        <w:rPr>
          <w:rFonts w:hint="cs"/>
          <w:rtl/>
        </w:rPr>
        <w:t>:</w:t>
      </w:r>
      <w:r>
        <w:rPr>
          <w:rFonts w:hint="cs"/>
          <w:rtl/>
        </w:rPr>
        <w:t xml:space="preserve"> </w:t>
      </w:r>
      <w:r w:rsidR="0071330D">
        <w:rPr>
          <w:rFonts w:hint="cs"/>
          <w:rtl/>
        </w:rPr>
        <w:t xml:space="preserve">הסעיף </w:t>
      </w:r>
      <w:r>
        <w:rPr>
          <w:rFonts w:hint="cs"/>
          <w:rtl/>
        </w:rPr>
        <w:t xml:space="preserve">קובע כי התקהלות של שלושה אנשים לשם ביצוע עבירה או שהתקהלו למטרה כשרה אך מתנהגים באופן שיש עמו יסוד סביר לחשש של הפרת השלום או שבעצם התקהלותם יעורר אחרים להפר את השלום </w:t>
      </w:r>
      <w:r>
        <w:rPr>
          <w:rtl/>
        </w:rPr>
        <w:t>–</w:t>
      </w:r>
      <w:r>
        <w:rPr>
          <w:rFonts w:hint="cs"/>
          <w:rtl/>
        </w:rPr>
        <w:t xml:space="preserve"> זו התקהלות אסורה המהווה עבירה. סעיף זה יש לקרוא עם ההוראה הבאה. </w:t>
      </w:r>
    </w:p>
    <w:p w:rsidR="001F0B27" w:rsidRDefault="001F0B27" w:rsidP="001F0B27">
      <w:pPr>
        <w:pStyle w:val="Ruller4"/>
        <w:rPr>
          <w:rtl/>
        </w:rPr>
      </w:pPr>
    </w:p>
    <w:p w:rsidR="001F0B27" w:rsidRDefault="001F0B27" w:rsidP="001F0B27">
      <w:pPr>
        <w:pStyle w:val="Ruller4"/>
        <w:rPr>
          <w:rtl/>
        </w:rPr>
      </w:pPr>
      <w:r>
        <w:rPr>
          <w:rFonts w:ascii="Century" w:hAnsi="Century" w:cs="Miriam"/>
          <w:b/>
          <w:spacing w:val="0"/>
          <w:szCs w:val="24"/>
          <w:rtl/>
        </w:rPr>
        <w:lastRenderedPageBreak/>
        <w:tab/>
      </w:r>
      <w:r w:rsidRPr="00D439C8">
        <w:rPr>
          <w:rFonts w:ascii="Century" w:hAnsi="Century" w:hint="cs"/>
          <w:rtl/>
        </w:rPr>
        <w:t>(-)</w:t>
      </w:r>
      <w:r>
        <w:rPr>
          <w:rFonts w:ascii="Century" w:hAnsi="Century" w:hint="cs"/>
          <w:rtl/>
        </w:rPr>
        <w:t xml:space="preserve"> </w:t>
      </w:r>
      <w:r w:rsidRPr="00EE0222">
        <w:rPr>
          <w:rFonts w:ascii="Century" w:hAnsi="Century" w:cs="Miriam" w:hint="cs"/>
          <w:b/>
          <w:spacing w:val="0"/>
          <w:szCs w:val="24"/>
          <w:rtl/>
        </w:rPr>
        <w:t>סעיף 89 לפקודת המשטרה</w:t>
      </w:r>
      <w:r>
        <w:rPr>
          <w:rFonts w:hint="cs"/>
          <w:rtl/>
        </w:rPr>
        <w:t xml:space="preserve">: הפגנה שנערכה ללא רישיון או תוך הפרה או סטיה מתנאי הרישיון היא בגדר התקהלות בלתי חוקית. </w:t>
      </w:r>
    </w:p>
    <w:p w:rsidR="001F0B27" w:rsidRDefault="001F0B27" w:rsidP="001F0B27">
      <w:pPr>
        <w:pStyle w:val="Ruller4"/>
        <w:rPr>
          <w:rtl/>
        </w:rPr>
      </w:pPr>
    </w:p>
    <w:p w:rsidR="001F0B27" w:rsidRDefault="001F0B27" w:rsidP="001F0B27">
      <w:pPr>
        <w:pStyle w:val="Ruller4"/>
        <w:rPr>
          <w:rtl/>
        </w:rPr>
      </w:pPr>
      <w:r>
        <w:rPr>
          <w:rFonts w:ascii="Century" w:hAnsi="Century" w:cs="Miriam"/>
          <w:b/>
          <w:spacing w:val="0"/>
          <w:szCs w:val="24"/>
          <w:rtl/>
        </w:rPr>
        <w:tab/>
      </w:r>
      <w:r w:rsidRPr="00D439C8">
        <w:rPr>
          <w:rFonts w:ascii="Century" w:hAnsi="Century" w:hint="cs"/>
          <w:rtl/>
        </w:rPr>
        <w:t>(-)</w:t>
      </w:r>
      <w:r>
        <w:rPr>
          <w:rFonts w:ascii="Century" w:hAnsi="Century" w:hint="cs"/>
          <w:rtl/>
        </w:rPr>
        <w:t xml:space="preserve"> </w:t>
      </w:r>
      <w:r w:rsidRPr="00281017">
        <w:rPr>
          <w:rFonts w:ascii="Century" w:hAnsi="Century" w:cs="Miriam" w:hint="cs"/>
          <w:b/>
          <w:spacing w:val="0"/>
          <w:szCs w:val="24"/>
          <w:rtl/>
        </w:rPr>
        <w:t>הוראות שונות בחוק העונשין</w:t>
      </w:r>
      <w:r>
        <w:rPr>
          <w:rFonts w:hint="cs"/>
          <w:rtl/>
        </w:rPr>
        <w:t xml:space="preserve">: המשטרה רשאית להתחשב באפשרות כי ההפגנה תהיה כרוכה בביצוע עבירות פליליות כמו התפרעות, המרדה, הסתה או הסתה לטרור.  </w:t>
      </w:r>
    </w:p>
    <w:p w:rsidR="001F0B27" w:rsidRDefault="001F0B27" w:rsidP="001F0B27">
      <w:pPr>
        <w:pStyle w:val="Ruller4"/>
        <w:rPr>
          <w:rtl/>
        </w:rPr>
      </w:pPr>
    </w:p>
    <w:p w:rsidR="001F0B27" w:rsidRDefault="001F0B27" w:rsidP="001F0B27">
      <w:pPr>
        <w:pStyle w:val="Ruller4"/>
        <w:rPr>
          <w:rtl/>
        </w:rPr>
      </w:pPr>
      <w:r>
        <w:rPr>
          <w:rFonts w:hint="cs"/>
          <w:rtl/>
        </w:rPr>
        <w:t>5.</w:t>
      </w:r>
      <w:r>
        <w:rPr>
          <w:rFonts w:hint="cs"/>
          <w:rtl/>
        </w:rPr>
        <w:tab/>
        <w:t>קורפוס הפסיקה בנוגע לחירות ההפגנה בימי שלום ומלחמה הוא רחב, ומשום קוצר הזמן אנסה לתמצתו במספר משפטים, תוך הפנייה למספר פסקי דין מרכזיים בנושא, על האסמכתאות הרבות שנזכרות שם.</w:t>
      </w:r>
    </w:p>
    <w:p w:rsidR="001F0B27" w:rsidRDefault="001F0B27" w:rsidP="001F0B27">
      <w:pPr>
        <w:pStyle w:val="Ruller4"/>
        <w:rPr>
          <w:rtl/>
        </w:rPr>
      </w:pPr>
    </w:p>
    <w:p w:rsidR="001F0B27" w:rsidRDefault="001F0B27" w:rsidP="004E2262">
      <w:pPr>
        <w:pStyle w:val="Ruller4"/>
        <w:rPr>
          <w:rtl/>
        </w:rPr>
      </w:pPr>
      <w:r>
        <w:rPr>
          <w:rtl/>
        </w:rPr>
        <w:tab/>
      </w:r>
      <w:r>
        <w:rPr>
          <w:rFonts w:hint="eastAsia"/>
          <w:rtl/>
        </w:rPr>
        <w:t>הזכות</w:t>
      </w:r>
      <w:r>
        <w:rPr>
          <w:rtl/>
        </w:rPr>
        <w:t xml:space="preserve"> </w:t>
      </w:r>
      <w:r>
        <w:rPr>
          <w:rFonts w:hint="eastAsia"/>
          <w:rtl/>
        </w:rPr>
        <w:t>להפגין</w:t>
      </w:r>
      <w:r>
        <w:rPr>
          <w:rtl/>
        </w:rPr>
        <w:t xml:space="preserve"> </w:t>
      </w:r>
      <w:r>
        <w:rPr>
          <w:rFonts w:hint="eastAsia"/>
          <w:rtl/>
        </w:rPr>
        <w:t>ולקיים</w:t>
      </w:r>
      <w:r>
        <w:rPr>
          <w:rtl/>
        </w:rPr>
        <w:t xml:space="preserve"> </w:t>
      </w:r>
      <w:r>
        <w:rPr>
          <w:rFonts w:hint="eastAsia"/>
          <w:rtl/>
        </w:rPr>
        <w:t>אסיפה</w:t>
      </w:r>
      <w:r>
        <w:rPr>
          <w:rtl/>
        </w:rPr>
        <w:t xml:space="preserve"> </w:t>
      </w:r>
      <w:r>
        <w:rPr>
          <w:rFonts w:hint="eastAsia"/>
          <w:rtl/>
        </w:rPr>
        <w:t>או</w:t>
      </w:r>
      <w:r>
        <w:rPr>
          <w:rtl/>
        </w:rPr>
        <w:t xml:space="preserve"> </w:t>
      </w:r>
      <w:r>
        <w:rPr>
          <w:rFonts w:hint="eastAsia"/>
          <w:rtl/>
        </w:rPr>
        <w:t>תהלוכה</w:t>
      </w:r>
      <w:r>
        <w:rPr>
          <w:rtl/>
        </w:rPr>
        <w:t xml:space="preserve"> </w:t>
      </w:r>
      <w:r>
        <w:rPr>
          <w:rFonts w:hint="eastAsia"/>
          <w:rtl/>
        </w:rPr>
        <w:t>היא</w:t>
      </w:r>
      <w:r>
        <w:rPr>
          <w:rtl/>
        </w:rPr>
        <w:t xml:space="preserve"> </w:t>
      </w:r>
      <w:r>
        <w:rPr>
          <w:rFonts w:hint="eastAsia"/>
          <w:rtl/>
        </w:rPr>
        <w:t>מהחשובות</w:t>
      </w:r>
      <w:r>
        <w:rPr>
          <w:rtl/>
        </w:rPr>
        <w:t xml:space="preserve"> </w:t>
      </w:r>
      <w:r>
        <w:rPr>
          <w:rFonts w:hint="eastAsia"/>
          <w:rtl/>
        </w:rPr>
        <w:t>שבזכויות</w:t>
      </w:r>
      <w:r>
        <w:rPr>
          <w:rtl/>
        </w:rPr>
        <w:t xml:space="preserve"> </w:t>
      </w:r>
      <w:r>
        <w:rPr>
          <w:rFonts w:hint="eastAsia"/>
          <w:rtl/>
        </w:rPr>
        <w:t>היסוד</w:t>
      </w:r>
      <w:r>
        <w:rPr>
          <w:rtl/>
        </w:rPr>
        <w:t xml:space="preserve">. </w:t>
      </w:r>
      <w:r>
        <w:rPr>
          <w:rFonts w:hint="cs"/>
          <w:rtl/>
        </w:rPr>
        <w:t>אך כמו כל זכויות היסוד בישראל, גם חירות ההפגנה והתהלוכה אינה זכות מוחלטת אלא  יחסית, ויש לאזן אותה אל מול פגיעה אפשרית בסדר הציבורי ושלום הציבור (</w:t>
      </w:r>
      <w:r w:rsidRPr="00DF3ADD">
        <w:rPr>
          <w:rFonts w:ascii="Century" w:hAnsi="Century"/>
          <w:rtl/>
        </w:rPr>
        <w:t>בג</w:t>
      </w:r>
      <w:r>
        <w:rPr>
          <w:rFonts w:ascii="Century" w:hAnsi="Century" w:hint="cs"/>
          <w:rtl/>
        </w:rPr>
        <w:t>"</w:t>
      </w:r>
      <w:r w:rsidRPr="00DF3ADD">
        <w:rPr>
          <w:rFonts w:ascii="Century" w:hAnsi="Century"/>
          <w:rtl/>
        </w:rPr>
        <w:t>ץ 148/79 ‏</w:t>
      </w:r>
      <w:r w:rsidRPr="00DF3ADD">
        <w:rPr>
          <w:rFonts w:ascii="Century" w:hAnsi="Century" w:cs="Miriam"/>
          <w:b/>
          <w:spacing w:val="0"/>
          <w:szCs w:val="24"/>
          <w:rtl/>
        </w:rPr>
        <w:t>צבי סער נ' שר הפנים והמשטרה</w:t>
      </w:r>
      <w:r w:rsidRPr="00DF3ADD">
        <w:rPr>
          <w:rFonts w:ascii="Century" w:hAnsi="Century"/>
          <w:rtl/>
        </w:rPr>
        <w:t xml:space="preserve">, </w:t>
      </w:r>
      <w:r>
        <w:rPr>
          <w:rFonts w:ascii="Century" w:hAnsi="Century" w:hint="cs"/>
          <w:rtl/>
        </w:rPr>
        <w:t>פ"ד</w:t>
      </w:r>
      <w:r w:rsidRPr="00DF3ADD">
        <w:rPr>
          <w:rFonts w:ascii="Century" w:hAnsi="Century"/>
          <w:rtl/>
        </w:rPr>
        <w:t xml:space="preserve"> לד(2) 169</w:t>
      </w:r>
      <w:r>
        <w:rPr>
          <w:rFonts w:ascii="Century" w:hAnsi="Century" w:hint="cs"/>
          <w:rtl/>
        </w:rPr>
        <w:t xml:space="preserve"> (1979); </w:t>
      </w:r>
      <w:r>
        <w:rPr>
          <w:rFonts w:hint="cs"/>
          <w:rtl/>
        </w:rPr>
        <w:t xml:space="preserve">בג"ץ 6658/93 </w:t>
      </w:r>
      <w:r w:rsidRPr="008914F4">
        <w:rPr>
          <w:rFonts w:ascii="Century" w:hAnsi="Century" w:cs="Miriam" w:hint="cs"/>
          <w:b/>
          <w:spacing w:val="0"/>
          <w:szCs w:val="24"/>
          <w:rtl/>
        </w:rPr>
        <w:t>עם כלביא נ' מפקד תחנת ירושלים</w:t>
      </w:r>
      <w:r>
        <w:rPr>
          <w:rFonts w:hint="cs"/>
          <w:rtl/>
        </w:rPr>
        <w:t xml:space="preserve">, פ"ד מח(4) 793 (1994); בג"ץ 4712/96 </w:t>
      </w:r>
      <w:r w:rsidRPr="008914F4">
        <w:rPr>
          <w:rFonts w:ascii="Century" w:hAnsi="Century" w:cs="Miriam" w:hint="cs"/>
          <w:b/>
          <w:spacing w:val="0"/>
          <w:szCs w:val="24"/>
          <w:rtl/>
        </w:rPr>
        <w:t>סיעת מרצ נ' מפקד מחוז ירושלים</w:t>
      </w:r>
      <w:r w:rsidR="00BE513E">
        <w:rPr>
          <w:rFonts w:hint="cs"/>
          <w:rtl/>
        </w:rPr>
        <w:t>, פ"ד נ(2) 822</w:t>
      </w:r>
      <w:r>
        <w:rPr>
          <w:rFonts w:hint="cs"/>
          <w:rtl/>
        </w:rPr>
        <w:t xml:space="preserve"> (1996) (להלן: </w:t>
      </w:r>
      <w:r w:rsidRPr="00430CCB">
        <w:rPr>
          <w:rFonts w:ascii="Century" w:hAnsi="Century" w:hint="eastAsia"/>
          <w:rtl/>
        </w:rPr>
        <w:t>עניין</w:t>
      </w:r>
      <w:r w:rsidRPr="00430CCB">
        <w:rPr>
          <w:rFonts w:ascii="Century" w:hAnsi="Century"/>
          <w:rtl/>
        </w:rPr>
        <w:t xml:space="preserve"> </w:t>
      </w:r>
      <w:r w:rsidRPr="008914F4">
        <w:rPr>
          <w:rFonts w:ascii="Century" w:hAnsi="Century" w:cs="Miriam" w:hint="cs"/>
          <w:b/>
          <w:spacing w:val="0"/>
          <w:szCs w:val="24"/>
          <w:rtl/>
        </w:rPr>
        <w:t>מרץ</w:t>
      </w:r>
      <w:r>
        <w:rPr>
          <w:rFonts w:hint="cs"/>
          <w:rtl/>
        </w:rPr>
        <w:t>)). המבחן לפגיעה הוא הסתברות קרובה לוודאי לפגיעה ממשית, קשה ורצינית בביטחון הציבור או בסדר הציבורי (בג"ץ 5078/20</w:t>
      </w:r>
      <w:r>
        <w:rPr>
          <w:rFonts w:ascii="Century" w:hAnsi="Century" w:cs="Miriam" w:hint="cs"/>
          <w:b/>
          <w:spacing w:val="0"/>
          <w:szCs w:val="24"/>
          <w:rtl/>
        </w:rPr>
        <w:t xml:space="preserve"> </w:t>
      </w:r>
      <w:r w:rsidRPr="00016933">
        <w:rPr>
          <w:rFonts w:ascii="Century" w:hAnsi="Century" w:cs="Miriam" w:hint="cs"/>
          <w:b/>
          <w:spacing w:val="0"/>
          <w:szCs w:val="24"/>
          <w:rtl/>
        </w:rPr>
        <w:t>טלי פדידה נ' משטרת ישראל</w:t>
      </w:r>
      <w:r w:rsidRPr="00016933">
        <w:rPr>
          <w:rFonts w:hint="cs"/>
          <w:rtl/>
        </w:rPr>
        <w:t xml:space="preserve"> </w:t>
      </w:r>
      <w:r>
        <w:rPr>
          <w:rFonts w:hint="cs"/>
          <w:rtl/>
        </w:rPr>
        <w:t xml:space="preserve">(19.8.2020) (להלן: </w:t>
      </w:r>
      <w:r w:rsidRPr="00430CCB">
        <w:rPr>
          <w:rFonts w:ascii="Century" w:hAnsi="Century" w:hint="eastAsia"/>
          <w:rtl/>
        </w:rPr>
        <w:t>עניין</w:t>
      </w:r>
      <w:r w:rsidRPr="00430CCB">
        <w:rPr>
          <w:rFonts w:ascii="Century" w:hAnsi="Century"/>
          <w:rtl/>
        </w:rPr>
        <w:t xml:space="preserve"> </w:t>
      </w:r>
      <w:r w:rsidRPr="008914F4">
        <w:rPr>
          <w:rFonts w:ascii="Century" w:hAnsi="Century" w:cs="Miriam" w:hint="cs"/>
          <w:b/>
          <w:spacing w:val="0"/>
          <w:szCs w:val="24"/>
          <w:rtl/>
        </w:rPr>
        <w:t>פדידה</w:t>
      </w:r>
      <w:r>
        <w:rPr>
          <w:rFonts w:hint="cs"/>
          <w:rtl/>
        </w:rPr>
        <w:t>)). כאשר המשטרה בוחנת מתן רישיון להפגנה היא אמורה להתעלם מתוכן ההפגנה או הרקע האידיאולוגי של המארגנים או המשתתפים בהפגנה (בג"ץ 153/83</w:t>
      </w:r>
      <w:r>
        <w:rPr>
          <w:rFonts w:ascii="Century" w:hAnsi="Century" w:cs="Miriam" w:hint="cs"/>
          <w:b/>
          <w:spacing w:val="0"/>
          <w:szCs w:val="24"/>
          <w:rtl/>
        </w:rPr>
        <w:t xml:space="preserve"> </w:t>
      </w:r>
      <w:r w:rsidRPr="00F94B5D">
        <w:rPr>
          <w:rFonts w:ascii="Century" w:hAnsi="Century" w:cs="Miriam" w:hint="cs"/>
          <w:b/>
          <w:spacing w:val="0"/>
          <w:szCs w:val="24"/>
          <w:rtl/>
        </w:rPr>
        <w:t>לוי נ' מפקד המחוז הדרומי של משטרת ישראל</w:t>
      </w:r>
      <w:r>
        <w:rPr>
          <w:rFonts w:hint="cs"/>
          <w:rtl/>
        </w:rPr>
        <w:t xml:space="preserve">, פ"ד לח(2) 393, 411 (1984) (להלן: </w:t>
      </w:r>
      <w:r w:rsidRPr="00430CCB">
        <w:rPr>
          <w:rFonts w:ascii="Century" w:hAnsi="Century" w:hint="eastAsia"/>
          <w:rtl/>
        </w:rPr>
        <w:t>עניין</w:t>
      </w:r>
      <w:r w:rsidRPr="008914F4">
        <w:rPr>
          <w:rFonts w:ascii="Century" w:hAnsi="Century" w:cs="Miriam" w:hint="cs"/>
          <w:b/>
          <w:spacing w:val="0"/>
          <w:szCs w:val="24"/>
          <w:rtl/>
        </w:rPr>
        <w:t xml:space="preserve"> לוי</w:t>
      </w:r>
      <w:r>
        <w:rPr>
          <w:rFonts w:hint="cs"/>
          <w:rtl/>
        </w:rPr>
        <w:t xml:space="preserve">); עניין </w:t>
      </w:r>
      <w:r w:rsidRPr="00B06389">
        <w:rPr>
          <w:rFonts w:ascii="Century" w:hAnsi="Century" w:cs="Miriam" w:hint="cs"/>
          <w:b/>
          <w:spacing w:val="0"/>
          <w:szCs w:val="24"/>
          <w:rtl/>
        </w:rPr>
        <w:t>כיכר גורן</w:t>
      </w:r>
      <w:r>
        <w:rPr>
          <w:rFonts w:hint="cs"/>
          <w:rtl/>
        </w:rPr>
        <w:t>,</w:t>
      </w:r>
      <w:r w:rsidRPr="00B06389">
        <w:rPr>
          <w:rFonts w:hint="cs"/>
          <w:rtl/>
        </w:rPr>
        <w:t xml:space="preserve"> </w:t>
      </w:r>
      <w:r>
        <w:rPr>
          <w:rFonts w:hint="cs"/>
          <w:rtl/>
        </w:rPr>
        <w:t xml:space="preserve">פסקה 20 לפסק דינו של השופט </w:t>
      </w:r>
      <w:r w:rsidRPr="00430CCB">
        <w:rPr>
          <w:rFonts w:ascii="Century" w:hAnsi="Century" w:cs="Miriam" w:hint="eastAsia"/>
          <w:b/>
          <w:spacing w:val="0"/>
          <w:szCs w:val="24"/>
          <w:rtl/>
        </w:rPr>
        <w:t>פוגלמן</w:t>
      </w:r>
      <w:r>
        <w:rPr>
          <w:rFonts w:hint="cs"/>
          <w:rtl/>
        </w:rPr>
        <w:t>). ברירת המחדל היא מתן רישיון לקיים הפגנה והחריג הוא אי מתן רישיון. על מפקד המחוז להפעיל שיקול דעת בהתאם לעקרונות ולחובות במשפט המינהלי והכל לשם "קיום הבטחון או הסדר הציבורי". לשם כך נדרש מפקד המחוז לבחון את התשתית העובדתית הרלוונטית, ונדרשות ראיות קונקרטיות כדי לבסס את אמת המידה של ודאות קרובה לפגיעה קשה בסדר הציבורי</w:t>
      </w:r>
      <w:r>
        <w:rPr>
          <w:rFonts w:hint="cs"/>
          <w:sz w:val="28"/>
          <w:rtl/>
        </w:rPr>
        <w:t xml:space="preserve"> (</w:t>
      </w:r>
      <w:r w:rsidRPr="00B06389">
        <w:rPr>
          <w:rFonts w:ascii="Century" w:hAnsi="Century" w:hint="eastAsia"/>
          <w:rtl/>
        </w:rPr>
        <w:t>בג</w:t>
      </w:r>
      <w:r w:rsidRPr="00B06389">
        <w:rPr>
          <w:rFonts w:ascii="Century" w:hAnsi="Century"/>
          <w:rtl/>
        </w:rPr>
        <w:t>"</w:t>
      </w:r>
      <w:r w:rsidRPr="00B06389">
        <w:rPr>
          <w:rFonts w:ascii="Century" w:hAnsi="Century" w:hint="eastAsia"/>
          <w:rtl/>
        </w:rPr>
        <w:t>ץ</w:t>
      </w:r>
      <w:r w:rsidRPr="00B06389">
        <w:rPr>
          <w:rFonts w:ascii="Century" w:hAnsi="Century"/>
          <w:rtl/>
        </w:rPr>
        <w:t xml:space="preserve"> 5277/07</w:t>
      </w:r>
      <w:r w:rsidRPr="00B06389">
        <w:rPr>
          <w:rFonts w:hint="cs"/>
          <w:sz w:val="28"/>
          <w:rtl/>
        </w:rPr>
        <w:t xml:space="preserve"> </w:t>
      </w:r>
      <w:r w:rsidRPr="00B06389">
        <w:rPr>
          <w:rFonts w:ascii="Century" w:hAnsi="Century" w:cs="Miriam" w:hint="cs"/>
          <w:b/>
          <w:spacing w:val="0"/>
          <w:szCs w:val="24"/>
          <w:rtl/>
        </w:rPr>
        <w:t>מרזל נ' מפקד משטרת מחוז ירושלים</w:t>
      </w:r>
      <w:r>
        <w:rPr>
          <w:rFonts w:hint="cs"/>
          <w:sz w:val="28"/>
          <w:rtl/>
        </w:rPr>
        <w:t xml:space="preserve">, פסקה 7 (20.6.2007); </w:t>
      </w:r>
      <w:r w:rsidRPr="00B06389">
        <w:rPr>
          <w:rFonts w:ascii="Century" w:hAnsi="Century" w:hint="eastAsia"/>
          <w:rtl/>
        </w:rPr>
        <w:t>בג</w:t>
      </w:r>
      <w:r w:rsidRPr="00B06389">
        <w:rPr>
          <w:rFonts w:ascii="Century" w:hAnsi="Century"/>
          <w:rtl/>
        </w:rPr>
        <w:t>"</w:t>
      </w:r>
      <w:r w:rsidRPr="00B06389">
        <w:rPr>
          <w:rFonts w:ascii="Century" w:hAnsi="Century" w:hint="eastAsia"/>
          <w:rtl/>
        </w:rPr>
        <w:t>ץ</w:t>
      </w:r>
      <w:r w:rsidRPr="00B06389">
        <w:rPr>
          <w:rFonts w:ascii="Century" w:hAnsi="Century"/>
          <w:rtl/>
        </w:rPr>
        <w:t xml:space="preserve"> 8988/06</w:t>
      </w:r>
      <w:r>
        <w:rPr>
          <w:rFonts w:hint="cs"/>
          <w:sz w:val="28"/>
          <w:rtl/>
        </w:rPr>
        <w:t xml:space="preserve"> </w:t>
      </w:r>
      <w:r w:rsidRPr="00B06389">
        <w:rPr>
          <w:rFonts w:ascii="Century" w:hAnsi="Century" w:cs="Miriam" w:hint="cs"/>
          <w:b/>
          <w:spacing w:val="0"/>
          <w:szCs w:val="24"/>
          <w:rtl/>
        </w:rPr>
        <w:t>משי זהב נ' מפקד מחוז ירושלים</w:t>
      </w:r>
      <w:r>
        <w:rPr>
          <w:rFonts w:hint="cs"/>
          <w:sz w:val="28"/>
          <w:rtl/>
        </w:rPr>
        <w:t xml:space="preserve">, פסקה 10 (27.12.2006) (להלן: עניין </w:t>
      </w:r>
      <w:r w:rsidRPr="00B06389">
        <w:rPr>
          <w:rFonts w:ascii="Century" w:hAnsi="Century" w:cs="Miriam" w:hint="cs"/>
          <w:b/>
          <w:spacing w:val="0"/>
          <w:szCs w:val="24"/>
          <w:rtl/>
        </w:rPr>
        <w:t>משי זהב</w:t>
      </w:r>
      <w:r>
        <w:rPr>
          <w:rFonts w:hint="cs"/>
          <w:sz w:val="28"/>
          <w:rtl/>
        </w:rPr>
        <w:t>)).</w:t>
      </w:r>
      <w:r>
        <w:rPr>
          <w:rFonts w:hint="cs"/>
          <w:rtl/>
        </w:rPr>
        <w:t xml:space="preserve"> ככלל, </w:t>
      </w:r>
      <w:r w:rsidRPr="00DF13CD">
        <w:rPr>
          <w:rFonts w:hint="cs"/>
          <w:rtl/>
        </w:rPr>
        <w:t>המשטרה רשאית להטיל מגבלות הנוגעות ל"זמן, מקום ואופן"</w:t>
      </w:r>
      <w:r>
        <w:rPr>
          <w:rFonts w:hint="cs"/>
          <w:rtl/>
        </w:rPr>
        <w:t xml:space="preserve"> של ההפגנה, אך על מפקד המחוז לבחור את האמצעי הפוגע במידה פחותה בזכות היסוד, כאשר האיסור על עצם קיום ההפגנה או התהלוכה הוא האמצעי האחרון (עניין </w:t>
      </w:r>
      <w:r w:rsidRPr="008914F4">
        <w:rPr>
          <w:rFonts w:ascii="Century" w:hAnsi="Century" w:cs="Miriam" w:hint="cs"/>
          <w:b/>
          <w:spacing w:val="0"/>
          <w:szCs w:val="24"/>
          <w:rtl/>
        </w:rPr>
        <w:t>מרץ</w:t>
      </w:r>
      <w:r>
        <w:rPr>
          <w:rFonts w:hint="cs"/>
          <w:rtl/>
        </w:rPr>
        <w:t xml:space="preserve">, עמ' 828-829; עניין </w:t>
      </w:r>
      <w:r w:rsidRPr="008914F4">
        <w:rPr>
          <w:rFonts w:ascii="Century" w:hAnsi="Century" w:cs="Miriam" w:hint="cs"/>
          <w:b/>
          <w:spacing w:val="0"/>
          <w:szCs w:val="24"/>
          <w:rtl/>
        </w:rPr>
        <w:t>לוי</w:t>
      </w:r>
      <w:r>
        <w:rPr>
          <w:rFonts w:hint="cs"/>
          <w:rtl/>
        </w:rPr>
        <w:t xml:space="preserve">, עמ' 412; עניין </w:t>
      </w:r>
      <w:r w:rsidRPr="00B06389">
        <w:rPr>
          <w:rFonts w:ascii="Century" w:hAnsi="Century" w:cs="Miriam" w:hint="cs"/>
          <w:b/>
          <w:spacing w:val="0"/>
          <w:szCs w:val="24"/>
          <w:rtl/>
        </w:rPr>
        <w:t>פדידה</w:t>
      </w:r>
      <w:r>
        <w:rPr>
          <w:rFonts w:hint="cs"/>
          <w:rtl/>
        </w:rPr>
        <w:t xml:space="preserve">; עניין </w:t>
      </w:r>
      <w:r w:rsidRPr="00430CCB">
        <w:rPr>
          <w:rFonts w:ascii="Century" w:hAnsi="Century" w:cs="Miriam" w:hint="eastAsia"/>
          <w:b/>
          <w:spacing w:val="0"/>
          <w:szCs w:val="24"/>
          <w:rtl/>
        </w:rPr>
        <w:t>משי</w:t>
      </w:r>
      <w:r w:rsidRPr="00430CCB">
        <w:rPr>
          <w:rFonts w:ascii="Century" w:hAnsi="Century" w:cs="Miriam"/>
          <w:b/>
          <w:spacing w:val="0"/>
          <w:szCs w:val="24"/>
          <w:rtl/>
        </w:rPr>
        <w:t xml:space="preserve"> </w:t>
      </w:r>
      <w:r w:rsidRPr="00430CCB">
        <w:rPr>
          <w:rFonts w:ascii="Century" w:hAnsi="Century" w:cs="Miriam" w:hint="eastAsia"/>
          <w:b/>
          <w:spacing w:val="0"/>
          <w:szCs w:val="24"/>
          <w:rtl/>
        </w:rPr>
        <w:t>זהב</w:t>
      </w:r>
      <w:r>
        <w:rPr>
          <w:rFonts w:hint="cs"/>
          <w:rtl/>
        </w:rPr>
        <w:t>), ולבסוף, "</w:t>
      </w:r>
      <w:r>
        <w:rPr>
          <w:rFonts w:hint="cs"/>
          <w:sz w:val="28"/>
          <w:rtl/>
        </w:rPr>
        <w:t xml:space="preserve">לא כל פגיעה </w:t>
      </w:r>
      <w:r>
        <w:rPr>
          <w:rFonts w:hint="cs"/>
          <w:sz w:val="28"/>
          <w:rtl/>
        </w:rPr>
        <w:lastRenderedPageBreak/>
        <w:t xml:space="preserve">בסדר או בביטחון תצדיק את הגבלת הזכות להפגין ואין די בכך שהפגנה גורמת לאי נוחות, אפילו אי נוחות רבה, כדי לאסור על קיומה" (עניין </w:t>
      </w:r>
      <w:r w:rsidRPr="00B06389">
        <w:rPr>
          <w:rFonts w:ascii="Century" w:hAnsi="Century" w:cs="Miriam" w:hint="cs"/>
          <w:b/>
          <w:spacing w:val="0"/>
          <w:szCs w:val="24"/>
          <w:rtl/>
        </w:rPr>
        <w:t>כיכר גורן</w:t>
      </w:r>
      <w:r>
        <w:rPr>
          <w:rFonts w:hint="cs"/>
          <w:sz w:val="28"/>
          <w:rtl/>
        </w:rPr>
        <w:t>, פסקה 20).</w:t>
      </w:r>
    </w:p>
    <w:p w:rsidR="001F0B27" w:rsidRDefault="001F0B27" w:rsidP="001F0B27">
      <w:pPr>
        <w:pStyle w:val="Ruller4"/>
        <w:rPr>
          <w:rtl/>
        </w:rPr>
      </w:pPr>
      <w:r>
        <w:rPr>
          <w:rFonts w:hint="cs"/>
          <w:rtl/>
        </w:rPr>
        <w:t xml:space="preserve">    </w:t>
      </w:r>
    </w:p>
    <w:p w:rsidR="001F0B27" w:rsidRDefault="001F0B27" w:rsidP="001F0B27">
      <w:pPr>
        <w:pStyle w:val="Ruller4"/>
        <w:rPr>
          <w:rFonts w:ascii="Century" w:hAnsi="Century"/>
          <w:rtl/>
        </w:rPr>
      </w:pPr>
      <w:r>
        <w:rPr>
          <w:rFonts w:hint="cs"/>
          <w:rtl/>
        </w:rPr>
        <w:t>6.</w:t>
      </w:r>
      <w:r>
        <w:rPr>
          <w:rFonts w:hint="cs"/>
          <w:rtl/>
        </w:rPr>
        <w:tab/>
        <w:t>הנחייה מס' 3.1200 של היועץ המשפטי לממשלה (כפי שעודכנה לאחרונה בחודש ינואר 2022) מגבשת את הפסיקה בנושא חירות ההפגנה והמחאה ומנחה את המשטרה כיצד לנהוג. בהנחייה זו מודגש כי "</w:t>
      </w:r>
      <w:r w:rsidRPr="00281017">
        <w:rPr>
          <w:rFonts w:ascii="Century" w:hAnsi="Century"/>
          <w:rtl/>
        </w:rPr>
        <w:t>נושא ההרצאה או הנאום, או הרקע האידיאולוגי של המארגנים או המשתתפים בהפגנה, ככלל, אינו עניין למשטרה ואין בו שיקול כדי לסרב רשיו</w:t>
      </w:r>
      <w:r w:rsidRPr="00281017">
        <w:rPr>
          <w:rFonts w:ascii="Century" w:hAnsi="Century" w:hint="cs"/>
          <w:rtl/>
        </w:rPr>
        <w:t>ן".</w:t>
      </w:r>
      <w:r>
        <w:rPr>
          <w:rFonts w:ascii="Century" w:hAnsi="Century" w:hint="cs"/>
          <w:rtl/>
        </w:rPr>
        <w:t xml:space="preserve"> ההנחייה מסתיימת במילים הבאות: </w:t>
      </w:r>
    </w:p>
    <w:p w:rsidR="001F0B27" w:rsidRDefault="001F0B27" w:rsidP="001F0B27">
      <w:pPr>
        <w:pStyle w:val="Ruller4"/>
        <w:rPr>
          <w:rFonts w:ascii="Century" w:hAnsi="Century"/>
          <w:rtl/>
        </w:rPr>
      </w:pPr>
    </w:p>
    <w:p w:rsidR="001F0B27" w:rsidRPr="00D439C8" w:rsidRDefault="001F0B27" w:rsidP="001F0B27">
      <w:pPr>
        <w:pStyle w:val="Ruller5"/>
        <w:rPr>
          <w:rtl/>
        </w:rPr>
      </w:pPr>
      <w:r>
        <w:rPr>
          <w:rFonts w:hint="cs"/>
          <w:rtl/>
        </w:rPr>
        <w:t>"</w:t>
      </w:r>
      <w:r>
        <w:rPr>
          <w:rtl/>
        </w:rPr>
        <w:t>חופש ההפגנה והתהלוכה הוא זכות יסוד מרכזית של האדם בישראל. ההפגנה, במסגרת החו</w:t>
      </w:r>
      <w:r>
        <w:rPr>
          <w:rFonts w:hint="cs"/>
          <w:rtl/>
        </w:rPr>
        <w:t>ק,</w:t>
      </w:r>
      <w:r>
        <w:t xml:space="preserve"> </w:t>
      </w:r>
      <w:r>
        <w:rPr>
          <w:rtl/>
        </w:rPr>
        <w:t>מהווה דרך ראשית לגיבוש וביטוי של דעת הקהל, ועל-ידי כך היא מהווה גם יסוד מוסד של המשטר הדמוקרטי, הראוי להגנה נמרצת מצד על הרשויות הציבוריות</w:t>
      </w:r>
      <w:r>
        <w:rPr>
          <w:rFonts w:hint="cs"/>
          <w:rtl/>
        </w:rPr>
        <w:t>".</w:t>
      </w:r>
    </w:p>
    <w:p w:rsidR="001F0B27" w:rsidRDefault="001F0B27" w:rsidP="001F0B27">
      <w:pPr>
        <w:pStyle w:val="Ruller4"/>
        <w:rPr>
          <w:rFonts w:ascii="Century" w:hAnsi="Century"/>
          <w:rtl/>
        </w:rPr>
      </w:pPr>
    </w:p>
    <w:p w:rsidR="001F0B27" w:rsidRPr="00543537" w:rsidRDefault="001F0B27" w:rsidP="001F0B27">
      <w:pPr>
        <w:pStyle w:val="Ruller4"/>
        <w:rPr>
          <w:rFonts w:ascii="Century" w:hAnsi="Century" w:cs="Miriam"/>
          <w:b/>
          <w:spacing w:val="0"/>
          <w:szCs w:val="24"/>
          <w:rtl/>
        </w:rPr>
      </w:pPr>
      <w:r>
        <w:rPr>
          <w:rFonts w:ascii="Century" w:hAnsi="Century" w:cs="Miriam" w:hint="cs"/>
          <w:b/>
          <w:spacing w:val="0"/>
          <w:szCs w:val="24"/>
          <w:rtl/>
        </w:rPr>
        <w:t xml:space="preserve">המחלוקת בין הצדדים </w:t>
      </w:r>
    </w:p>
    <w:p w:rsidR="001F0B27" w:rsidRDefault="001F0B27" w:rsidP="001F0B27">
      <w:pPr>
        <w:pStyle w:val="Ruller4"/>
        <w:rPr>
          <w:rtl/>
        </w:rPr>
      </w:pPr>
    </w:p>
    <w:p w:rsidR="001F0B27" w:rsidRDefault="001F0B27" w:rsidP="001F0B27">
      <w:pPr>
        <w:pStyle w:val="Ruller4"/>
        <w:rPr>
          <w:rtl/>
        </w:rPr>
      </w:pPr>
      <w:r>
        <w:rPr>
          <w:rFonts w:hint="cs"/>
          <w:rtl/>
        </w:rPr>
        <w:t>7.</w:t>
      </w:r>
      <w:r>
        <w:rPr>
          <w:rFonts w:hint="cs"/>
          <w:rtl/>
        </w:rPr>
        <w:tab/>
        <w:t xml:space="preserve">העותרים הפנו להלכות הרבות בעניין חירות ההפגנה, וציטטו התבטאות של המפכ"ל שממנה עשוי להשתמע כי ניתנה הנחייה כללית האוסרת על קיום הפגנות. </w:t>
      </w:r>
    </w:p>
    <w:p w:rsidR="001F0B27" w:rsidRDefault="001F0B27" w:rsidP="001F0B27">
      <w:pPr>
        <w:pStyle w:val="Ruller4"/>
        <w:rPr>
          <w:rtl/>
        </w:rPr>
      </w:pPr>
    </w:p>
    <w:p w:rsidR="001F0B27" w:rsidRDefault="001F0B27" w:rsidP="001F0B27">
      <w:pPr>
        <w:pStyle w:val="Ruller4"/>
        <w:rPr>
          <w:rtl/>
        </w:rPr>
      </w:pPr>
      <w:r>
        <w:rPr>
          <w:rtl/>
        </w:rPr>
        <w:tab/>
      </w:r>
      <w:r>
        <w:rPr>
          <w:rFonts w:hint="cs"/>
          <w:rtl/>
        </w:rPr>
        <w:t xml:space="preserve">איסור גורף וכללי האוסר מראש על הפגנות בשל תוכנן אינו בסמכות המפכ"ל, וטוב היה אילו הדברים לא היו נאמרים באופן שבו נאמרו. מכל מקום, המשיבים הבהירו בתגובתם כי </w:t>
      </w:r>
      <w:r w:rsidRPr="00030C7F">
        <w:rPr>
          <w:rFonts w:ascii="Century" w:hAnsi="Century" w:cs="Miriam" w:hint="cs"/>
          <w:b/>
          <w:spacing w:val="0"/>
          <w:szCs w:val="24"/>
          <w:rtl/>
        </w:rPr>
        <w:t>לא</w:t>
      </w:r>
      <w:r>
        <w:rPr>
          <w:rFonts w:hint="cs"/>
          <w:rtl/>
        </w:rPr>
        <w:t xml:space="preserve"> ניתנה הנחייה הקובעת איסור גורף וכללי מעין זה;</w:t>
      </w:r>
      <w:r>
        <w:rPr>
          <w:rFonts w:hint="cs"/>
        </w:rPr>
        <w:t xml:space="preserve"> </w:t>
      </w:r>
      <w:r>
        <w:rPr>
          <w:rFonts w:hint="cs"/>
          <w:rtl/>
        </w:rPr>
        <w:t xml:space="preserve">כי האמירה שצוטטה מפי המפכ"ל התייחסה למחאות העולות כדי הסתה ואין לראותה כהנחייה קונקרטית; וכל בקשה לרישיון לקיום הפגנה או תהלוכה, נבחנת לגופה. יש בהבהרה חד-משמעית זו של המשיבים כדי לייתר את הסעד השלישי שהתבקש בעתירה. </w:t>
      </w:r>
    </w:p>
    <w:p w:rsidR="001F0B27" w:rsidRDefault="001F0B27" w:rsidP="001F0B27">
      <w:pPr>
        <w:pStyle w:val="Ruller4"/>
        <w:rPr>
          <w:rtl/>
        </w:rPr>
      </w:pPr>
      <w:r>
        <w:rPr>
          <w:rtl/>
        </w:rPr>
        <w:tab/>
      </w:r>
    </w:p>
    <w:p w:rsidR="001F0B27" w:rsidRDefault="001F0B27" w:rsidP="001F0B27">
      <w:pPr>
        <w:pStyle w:val="Ruller4"/>
        <w:rPr>
          <w:rtl/>
        </w:rPr>
      </w:pPr>
      <w:r>
        <w:rPr>
          <w:rFonts w:hint="cs"/>
          <w:rtl/>
        </w:rPr>
        <w:t>8.</w:t>
      </w:r>
      <w:r>
        <w:rPr>
          <w:rFonts w:hint="cs"/>
          <w:rtl/>
        </w:rPr>
        <w:tab/>
        <w:t xml:space="preserve">שתי עילות לסירוב לקיום ההפגנות העלו המשיבים בתגובתם. </w:t>
      </w:r>
    </w:p>
    <w:p w:rsidR="001F0B27" w:rsidRDefault="001F0B27" w:rsidP="001F0B27">
      <w:pPr>
        <w:pStyle w:val="Ruller4"/>
        <w:rPr>
          <w:rtl/>
        </w:rPr>
      </w:pPr>
    </w:p>
    <w:p w:rsidR="001F0B27" w:rsidRDefault="001F0B27" w:rsidP="001F0B27">
      <w:pPr>
        <w:pStyle w:val="Ruller4"/>
        <w:rPr>
          <w:rtl/>
        </w:rPr>
      </w:pPr>
      <w:r>
        <w:rPr>
          <w:rtl/>
        </w:rPr>
        <w:tab/>
      </w:r>
      <w:r w:rsidRPr="00EA4679">
        <w:rPr>
          <w:rFonts w:ascii="Century" w:hAnsi="Century" w:cs="Miriam" w:hint="cs"/>
          <w:b/>
          <w:spacing w:val="0"/>
          <w:szCs w:val="24"/>
          <w:rtl/>
        </w:rPr>
        <w:t>ה</w:t>
      </w:r>
      <w:r>
        <w:rPr>
          <w:rFonts w:ascii="Century" w:hAnsi="Century" w:cs="Miriam" w:hint="cs"/>
          <w:b/>
          <w:spacing w:val="0"/>
          <w:szCs w:val="24"/>
          <w:rtl/>
        </w:rPr>
        <w:t>עילה הראשונה</w:t>
      </w:r>
      <w:r>
        <w:rPr>
          <w:rFonts w:hint="cs"/>
          <w:rtl/>
        </w:rPr>
        <w:t>: קיומו של חשש ברמה של ודאות קרובה לפגיעה קשה ורצינית בסדר הציבורי ובשלום הציבור. אציין כי החששות אינם נוגעים למארגני ההפגנות עצמם, אלא להתפתחויות אפשריות שקיום התהלוכה והעצרת עלול לגרום.</w:t>
      </w:r>
    </w:p>
    <w:p w:rsidR="001F0B27" w:rsidRDefault="001F0B27" w:rsidP="001F0B27">
      <w:pPr>
        <w:pStyle w:val="Ruller4"/>
        <w:rPr>
          <w:rtl/>
        </w:rPr>
      </w:pPr>
    </w:p>
    <w:p w:rsidR="001F0B27" w:rsidRDefault="001F0B27" w:rsidP="001F0B27">
      <w:pPr>
        <w:pStyle w:val="Ruller4"/>
        <w:rPr>
          <w:rtl/>
        </w:rPr>
      </w:pPr>
      <w:r>
        <w:rPr>
          <w:rtl/>
        </w:rPr>
        <w:tab/>
      </w:r>
      <w:r>
        <w:rPr>
          <w:rFonts w:hint="cs"/>
          <w:rtl/>
        </w:rPr>
        <w:t xml:space="preserve">בכל הנוגע לתהלוכה המתבקשת באום אלפחם שנמצאת במחוז חוף במשטרה, ציינו המשיבים כי במהלך השנים התקיימו הפגנות שהיו מלוות פעמים רבות ביידוי אבנים כנגד שוטרים, חסימת צירים ראשיים, הסתה לטרור והפרת הסדר הציבורי. נטען </w:t>
      </w:r>
      <w:r>
        <w:rPr>
          <w:rFonts w:hint="cs"/>
          <w:rtl/>
        </w:rPr>
        <w:lastRenderedPageBreak/>
        <w:t>כי ניסיון העבר מלמד כי במהלך תקופות רגישות יש עלייה דרמטית בדברי הסתה וקריאות מסיתים לפעולת אלימות אקטיבית. כך היה בעת אירועי 'שומר חומות' וכך עולה מניטור קריאות ברשות החברתיות הקוראות לקום ולהגן על מסגד אלאקצא. נטען כי ביום 19.10.2023 התקהלו באום אלפחם מאות אנשים לקיום תהלוכה, תוך שבזמן אמת פרסמו משתתפיה ברשתות החברתיות קריאות ישירות לביצוע מעשי טרור ודברי שבח, אהדה ועידוד למעשי טרור, תמיכה והזדהות עמם. בנוסף, בוצעו גם הפרות סדר תוך שימוש באלימות קשה כנגד שוטרים, מל</w:t>
      </w:r>
      <w:r>
        <w:rPr>
          <w:rFonts w:ascii="FrankRuehl" w:hAnsi="FrankRuehl"/>
          <w:rtl/>
        </w:rPr>
        <w:t>וּ</w:t>
      </w:r>
      <w:r>
        <w:rPr>
          <w:rFonts w:hint="cs"/>
          <w:rtl/>
        </w:rPr>
        <w:t xml:space="preserve">ות ביידוי אבנים וחפצים על שוטרים. ההפגנה, שנערכה בלי רישיון, פוזרה ובוצעו מספר מעצרים של חשודים והוגש כתב אישום נגד שני נאשמים. </w:t>
      </w:r>
    </w:p>
    <w:p w:rsidR="001F0B27" w:rsidRDefault="001F0B27" w:rsidP="001F0B27">
      <w:pPr>
        <w:pStyle w:val="Ruller4"/>
        <w:rPr>
          <w:rtl/>
        </w:rPr>
      </w:pPr>
    </w:p>
    <w:p w:rsidR="001F0B27" w:rsidRDefault="001F0B27" w:rsidP="001F0B27">
      <w:pPr>
        <w:pStyle w:val="Ruller4"/>
        <w:rPr>
          <w:rtl/>
        </w:rPr>
      </w:pPr>
      <w:r>
        <w:rPr>
          <w:rtl/>
        </w:rPr>
        <w:tab/>
      </w:r>
      <w:r>
        <w:rPr>
          <w:rFonts w:hint="cs"/>
          <w:rtl/>
        </w:rPr>
        <w:t xml:space="preserve">אציין בהקשר זה, כי העותרים טענו כי בהפגנה שנערכה ביום 19.10.2023 לא היו גילויי אלימות כנגד שוטרים במהלך ההפגנה, להבדיל מהתנגדות למעצר, כפי שעולה לטענתם מפרוטוקול ישיבת המעצרים ומכתב האישום שהוגש כנגד שניים ממשתתפי ההפגנה, המייחס להם עבירות של הסתה לטרור והזדהות עם ארגון טרור, אך לא עבירות אלימות. </w:t>
      </w:r>
    </w:p>
    <w:p w:rsidR="001F0B27" w:rsidRDefault="001F0B27" w:rsidP="001F0B27">
      <w:pPr>
        <w:pStyle w:val="Ruller4"/>
        <w:rPr>
          <w:rtl/>
        </w:rPr>
      </w:pPr>
    </w:p>
    <w:p w:rsidR="001F0B27" w:rsidRDefault="001F0B27" w:rsidP="001F0B27">
      <w:pPr>
        <w:pStyle w:val="Ruller4"/>
        <w:rPr>
          <w:rtl/>
        </w:rPr>
      </w:pPr>
      <w:r>
        <w:rPr>
          <w:rtl/>
        </w:rPr>
        <w:tab/>
      </w:r>
      <w:r w:rsidRPr="00DF3ADD">
        <w:rPr>
          <w:rFonts w:hint="cs"/>
          <w:rtl/>
        </w:rPr>
        <w:t xml:space="preserve"> </w:t>
      </w:r>
      <w:r>
        <w:rPr>
          <w:rFonts w:hint="cs"/>
          <w:rtl/>
        </w:rPr>
        <w:t xml:space="preserve">בחוות הדעת מטעם מפקד מחוז הצפון בנוגע לעצרת שנתבקש לקיימה בעיר סחנין נכתב, בין היתר, כי מבקש התהלוכה הוא מעראבה ואינו תושב העיר; כי ניסיון העבר מאירועי 'שומר חומות' מלמד כי "המון משולהב פועל לתקוף את יושבי הישובים היהודיים הקטנים הפזורים בגזרה"; וכי ההערכה הנוכחית היא כי תתפתח תסיסה מסוכנת, וקיים חשש ממשי מצעירים משולהבים שיגיעו ויחלו לפעול עצמאית באירועי הפרות סדר שיבעירו את הגזרה ואף גזרות אחרות. </w:t>
      </w:r>
    </w:p>
    <w:p w:rsidR="001F0B27" w:rsidRDefault="001F0B27" w:rsidP="001F0B27">
      <w:pPr>
        <w:pStyle w:val="Ruller4"/>
        <w:rPr>
          <w:rtl/>
        </w:rPr>
      </w:pPr>
      <w:r>
        <w:rPr>
          <w:rtl/>
        </w:rPr>
        <w:tab/>
      </w:r>
    </w:p>
    <w:p w:rsidR="001F0B27" w:rsidRDefault="001F0B27" w:rsidP="001F0B27">
      <w:pPr>
        <w:pStyle w:val="Ruller4"/>
        <w:rPr>
          <w:rtl/>
        </w:rPr>
      </w:pPr>
      <w:r>
        <w:rPr>
          <w:rtl/>
        </w:rPr>
        <w:tab/>
      </w:r>
      <w:r w:rsidRPr="00EA4679">
        <w:rPr>
          <w:rFonts w:ascii="Century" w:hAnsi="Century" w:cs="Miriam" w:hint="cs"/>
          <w:b/>
          <w:spacing w:val="0"/>
          <w:szCs w:val="24"/>
          <w:rtl/>
        </w:rPr>
        <w:t>ה</w:t>
      </w:r>
      <w:r>
        <w:rPr>
          <w:rFonts w:ascii="Century" w:hAnsi="Century" w:cs="Miriam" w:hint="cs"/>
          <w:b/>
          <w:spacing w:val="0"/>
          <w:szCs w:val="24"/>
          <w:rtl/>
        </w:rPr>
        <w:t>עילה ה</w:t>
      </w:r>
      <w:r w:rsidRPr="00EA4679">
        <w:rPr>
          <w:rFonts w:ascii="Century" w:hAnsi="Century" w:cs="Miriam" w:hint="cs"/>
          <w:b/>
          <w:spacing w:val="0"/>
          <w:szCs w:val="24"/>
          <w:rtl/>
        </w:rPr>
        <w:t>שנייה</w:t>
      </w:r>
      <w:r>
        <w:rPr>
          <w:rFonts w:hint="cs"/>
          <w:rtl/>
        </w:rPr>
        <w:t xml:space="preserve">: מגבלות ואילוצי כוח אדם במחוזות החוף והצפון. </w:t>
      </w:r>
    </w:p>
    <w:p w:rsidR="001F0B27" w:rsidRDefault="001F0B27" w:rsidP="001F0B27">
      <w:pPr>
        <w:pStyle w:val="Ruller4"/>
        <w:rPr>
          <w:rtl/>
        </w:rPr>
      </w:pPr>
    </w:p>
    <w:p w:rsidR="001F0B27" w:rsidRDefault="001F0B27" w:rsidP="001F0B27">
      <w:pPr>
        <w:pStyle w:val="Ruller4"/>
        <w:rPr>
          <w:rtl/>
        </w:rPr>
      </w:pPr>
      <w:r>
        <w:rPr>
          <w:rtl/>
        </w:rPr>
        <w:tab/>
      </w:r>
      <w:r>
        <w:rPr>
          <w:rFonts w:hint="cs"/>
          <w:rtl/>
        </w:rPr>
        <w:t xml:space="preserve">המשיבים ציינו בתגובתם כי המשטרה "מתוחה" על פני כל הארץ, ובמציאות הביטחונית השוררת כיום היא נדרשת להיערכות מהודקת ונדרשת פריסה רחבה של כוחות בהיקפים גדולים. </w:t>
      </w:r>
    </w:p>
    <w:p w:rsidR="001F0B27" w:rsidRDefault="001F0B27" w:rsidP="001F0B27">
      <w:pPr>
        <w:pStyle w:val="Ruller4"/>
        <w:rPr>
          <w:rtl/>
        </w:rPr>
      </w:pPr>
    </w:p>
    <w:p w:rsidR="001F0B27" w:rsidRDefault="001F0B27" w:rsidP="001F0B27">
      <w:pPr>
        <w:pStyle w:val="Ruller4"/>
        <w:rPr>
          <w:rtl/>
        </w:rPr>
      </w:pPr>
      <w:r>
        <w:rPr>
          <w:rtl/>
        </w:rPr>
        <w:tab/>
      </w:r>
      <w:r>
        <w:rPr>
          <w:rFonts w:hint="cs"/>
          <w:rtl/>
        </w:rPr>
        <w:t xml:space="preserve">כך, במחוז חוף נטען כי המשטרה פזורה בכוחות רבים בכל רחבי המחוז, תוך שימת דגש על הביטחון האישי, וכי בימים אלה הציבור רגיש יותר וכתוצאה מכך מתקבלות פניות רבות המחייבות הגעת כוחות מיידית, וזאת בנוסף לאינספור המשימות האחרות. בנוסף לכך, ולאור העובדה שהחלק המערבי של גבול הצפון נמצא בפיקוד ושליטה של מחוז חוף, הרי שלנוכח המצב בגבול הצפון יש צורך בעיבוי כוחות גם בזירה </w:t>
      </w:r>
      <w:r>
        <w:rPr>
          <w:rFonts w:hint="cs"/>
          <w:rtl/>
        </w:rPr>
        <w:lastRenderedPageBreak/>
        <w:t>זו.  בשל כך, "היכולת של משטרת ישראל בכלל ומחוז חוף בפרט להקצות כוחות משטרתיים גדולים לצורך קיום מחאה או תהלוכה [...] היא מוגבלת ובקשר לתהלוכה נושא העתירה במועד שנתבקשה אינה אפשרית".</w:t>
      </w:r>
    </w:p>
    <w:p w:rsidR="001F0B27" w:rsidRDefault="001F0B27" w:rsidP="001F0B27">
      <w:pPr>
        <w:pStyle w:val="Ruller4"/>
        <w:rPr>
          <w:rtl/>
        </w:rPr>
      </w:pPr>
    </w:p>
    <w:p w:rsidR="001F0B27" w:rsidRDefault="001F0B27" w:rsidP="00D472A3">
      <w:pPr>
        <w:pStyle w:val="Ruller4"/>
        <w:rPr>
          <w:rtl/>
        </w:rPr>
      </w:pPr>
      <w:r>
        <w:rPr>
          <w:rtl/>
        </w:rPr>
        <w:tab/>
      </w:r>
      <w:r>
        <w:rPr>
          <w:rFonts w:hint="cs"/>
          <w:rtl/>
        </w:rPr>
        <w:t xml:space="preserve">בדומה לכך, גם מחוז הצפון ציין כי המחוז נוטל חלק פעיל במלחמה, בהגנה מול המתרחש מהגבולות ובכוננות להחמרה אפשרית של התקיפות מהגבול הצפוני, כך שהמצב מחייב את כלל השוטרים לעסוק במשימות שאינן נוגעות לשגרה. בחוות דעתו של מפקד המחוז נכתב כי "כח האדם הקיים כיום בתחנה עונה בקושי על הצורך הקיים ואינו מסוגל לתת קשב לאירועים חריגים נוספים". </w:t>
      </w:r>
    </w:p>
    <w:p w:rsidR="001F0B27" w:rsidRDefault="001F0B27" w:rsidP="001F0B27">
      <w:pPr>
        <w:pStyle w:val="Ruller4"/>
        <w:rPr>
          <w:rtl/>
        </w:rPr>
      </w:pPr>
    </w:p>
    <w:p w:rsidR="001F0B27" w:rsidRPr="00DF3ADD" w:rsidRDefault="001F0B27" w:rsidP="001F0B27">
      <w:pPr>
        <w:pStyle w:val="Ruller4"/>
        <w:rPr>
          <w:rFonts w:ascii="Century" w:hAnsi="Century" w:cs="Miriam"/>
          <w:b/>
          <w:spacing w:val="0"/>
          <w:szCs w:val="24"/>
          <w:rtl/>
        </w:rPr>
      </w:pPr>
      <w:r w:rsidRPr="00DF3ADD">
        <w:rPr>
          <w:rFonts w:ascii="Century" w:hAnsi="Century" w:cs="Miriam" w:hint="cs"/>
          <w:b/>
          <w:spacing w:val="0"/>
          <w:szCs w:val="24"/>
          <w:rtl/>
        </w:rPr>
        <w:t xml:space="preserve">דיון והכרעה </w:t>
      </w:r>
    </w:p>
    <w:p w:rsidR="001F0B27" w:rsidRDefault="001F0B27" w:rsidP="001F0B27">
      <w:pPr>
        <w:pStyle w:val="Ruller4"/>
        <w:rPr>
          <w:rtl/>
        </w:rPr>
      </w:pPr>
    </w:p>
    <w:p w:rsidR="001F0B27" w:rsidRDefault="001F0B27" w:rsidP="001F0B27">
      <w:pPr>
        <w:pStyle w:val="Ruller4"/>
        <w:rPr>
          <w:rtl/>
        </w:rPr>
      </w:pPr>
      <w:r>
        <w:rPr>
          <w:rFonts w:ascii="Century" w:hAnsi="Century" w:cs="Miriam" w:hint="cs"/>
          <w:b/>
          <w:spacing w:val="0"/>
          <w:szCs w:val="24"/>
          <w:rtl/>
        </w:rPr>
        <w:t>9.</w:t>
      </w:r>
      <w:r>
        <w:rPr>
          <w:rFonts w:ascii="Century" w:hAnsi="Century" w:cs="Miriam" w:hint="cs"/>
          <w:b/>
          <w:spacing w:val="0"/>
          <w:szCs w:val="24"/>
          <w:rtl/>
        </w:rPr>
        <w:tab/>
      </w:r>
      <w:r>
        <w:rPr>
          <w:rFonts w:hint="cs"/>
          <w:rtl/>
        </w:rPr>
        <w:t>נקדים ונאמר כי ההכרעה בעתירה זו אינה קלה. עמדנו על ההלכות שרוממו את זכות המחאה, וכן על ההלכה שלפיה איסור הפגנה הוא הצעד האחרון, ויש לשקול תנאים ומגבלות חלף האיסור. המשיבים היו ערים להלכה זו אך כפי שהודגש בתשובתם,  נשקלו חלופות שפגיעתן פחותה, אולם אלה נשללו לנוכח "הרגישות הגבוהה בעת הזו".</w:t>
      </w:r>
    </w:p>
    <w:p w:rsidR="001F0B27" w:rsidRPr="003F407D" w:rsidRDefault="001F0B27" w:rsidP="001F0B27">
      <w:pPr>
        <w:pStyle w:val="Ruller4"/>
        <w:rPr>
          <w:rFonts w:ascii="Century" w:hAnsi="Century" w:cs="Miriam"/>
          <w:b/>
          <w:spacing w:val="0"/>
          <w:szCs w:val="24"/>
          <w:rtl/>
        </w:rPr>
      </w:pPr>
      <w:r>
        <w:rPr>
          <w:rFonts w:ascii="Century" w:hAnsi="Century" w:cs="Miriam" w:hint="cs"/>
          <w:b/>
          <w:spacing w:val="0"/>
          <w:szCs w:val="24"/>
          <w:rtl/>
        </w:rPr>
        <w:tab/>
      </w:r>
    </w:p>
    <w:p w:rsidR="001F0B27" w:rsidRDefault="001F0B27" w:rsidP="001F0B27">
      <w:pPr>
        <w:pStyle w:val="Ruller4"/>
        <w:rPr>
          <w:rtl/>
        </w:rPr>
      </w:pPr>
      <w:r>
        <w:rPr>
          <w:rFonts w:hint="cs"/>
          <w:rtl/>
        </w:rPr>
        <w:t>10.</w:t>
      </w:r>
      <w:r>
        <w:rPr>
          <w:rFonts w:hint="cs"/>
          <w:rtl/>
        </w:rPr>
        <w:tab/>
        <w:t>העותרים צרפו לעתירתם את תשובות מפקד מחוז חוף לבקשתם לקבלת רישיון, כהאי לישנא:</w:t>
      </w:r>
    </w:p>
    <w:p w:rsidR="001F0B27" w:rsidRDefault="001F0B27" w:rsidP="001F0B27">
      <w:pPr>
        <w:pStyle w:val="Ruller5"/>
        <w:rPr>
          <w:rtl/>
        </w:rPr>
      </w:pPr>
      <w:r>
        <w:rPr>
          <w:rFonts w:hint="cs"/>
          <w:rtl/>
        </w:rPr>
        <w:t>"[...] בקשה זו הועברה לעיונו של ממ"ז חוף, ניצן דניאל לוי, אשר מילא ידי להשיבך.</w:t>
      </w:r>
    </w:p>
    <w:p w:rsidR="001F0B27" w:rsidRDefault="001F0B27" w:rsidP="001F0B27">
      <w:pPr>
        <w:pStyle w:val="Ruller5"/>
        <w:rPr>
          <w:rtl/>
        </w:rPr>
      </w:pPr>
      <w:r>
        <w:rPr>
          <w:rFonts w:hint="cs"/>
          <w:rtl/>
        </w:rPr>
        <w:t>3. לאחר ששקלנו את כלל השיקולים הרלוונטיים הגענו לכלל מסקנה כי קיום המחאה יביא ברמת ודאות קרובה לפגיעה קשה ורצינית בסדר הציבורי ובשלום הציבור.</w:t>
      </w:r>
    </w:p>
    <w:p w:rsidR="001F0B27" w:rsidRDefault="001F0B27" w:rsidP="001F0B27">
      <w:pPr>
        <w:pStyle w:val="Ruller5"/>
        <w:rPr>
          <w:rtl/>
        </w:rPr>
      </w:pPr>
      <w:r>
        <w:rPr>
          <w:rFonts w:hint="cs"/>
          <w:rtl/>
        </w:rPr>
        <w:t>4. עמדה זו מתחדדת ביתר שאת גם לאור לקחים מאירועי עבר כמו גם מלקחים בזמן המלחמה הנוכחית (2 שיירות רכבים ותהלוכה עם עצרת מחאה) בעיר אום אל פאחם. אירועים אלו הפכו מתחילתם לאירוע הסתה וכללו שימוש בשלטי הסתה קשים ובקריאות הסתה קשות כנגד מדינת ישראל תוך השתתפת צעירים משולהבים אשר גרמו לפגיעה קשה ורציני בסדר הציבורי.</w:t>
      </w:r>
    </w:p>
    <w:p w:rsidR="001F0B27" w:rsidRPr="0024615A" w:rsidRDefault="001F0B27" w:rsidP="001F0B27">
      <w:pPr>
        <w:pStyle w:val="Ruller5"/>
      </w:pPr>
      <w:r>
        <w:rPr>
          <w:rFonts w:hint="cs"/>
          <w:rtl/>
        </w:rPr>
        <w:t>5. אשר על כן, בקשתם לקיום מחאה אינה מאושרת".</w:t>
      </w:r>
    </w:p>
    <w:p w:rsidR="001F0B27" w:rsidRPr="002A7443" w:rsidRDefault="001F0B27" w:rsidP="001F0B27">
      <w:pPr>
        <w:pStyle w:val="Ruller4"/>
        <w:rPr>
          <w:rtl/>
        </w:rPr>
      </w:pPr>
    </w:p>
    <w:p w:rsidR="001F0B27" w:rsidRDefault="001F0B27" w:rsidP="001F0B27">
      <w:pPr>
        <w:pStyle w:val="Ruller4"/>
        <w:rPr>
          <w:rFonts w:cs="Arial TUR"/>
          <w:szCs w:val="22"/>
        </w:rPr>
      </w:pPr>
      <w:r>
        <w:rPr>
          <w:rtl/>
        </w:rPr>
        <w:tab/>
      </w:r>
      <w:r>
        <w:rPr>
          <w:rFonts w:hint="cs"/>
          <w:rtl/>
        </w:rPr>
        <w:t xml:space="preserve">כפי שציינו המשיבים בתגובתם, בעקבות סדרה של דיונים והתייעצויות שנערכו  עם קבלת העתירה "עלה כי ההחלטות שניתנו בבקשות אלה לא שיקפו את מלוא הנימוקים האמורים". אכן, יש להצר על כך, </w:t>
      </w:r>
      <w:r>
        <w:rPr>
          <w:rFonts w:ascii="FrankRuehl" w:hAnsi="FrankRuehl"/>
          <w:sz w:val="28"/>
          <w:rtl/>
        </w:rPr>
        <w:t xml:space="preserve">ויש לזכור כי חזקת התקינות המינהלית עשויה להתערער כאשר הרשות מחליפה נימוקיה (יצחק זמיר </w:t>
      </w:r>
      <w:r>
        <w:rPr>
          <w:rFonts w:ascii="Miriam" w:hAnsi="Miriam" w:cs="Miriam"/>
          <w:spacing w:val="0"/>
          <w:sz w:val="24"/>
          <w:szCs w:val="24"/>
          <w:rtl/>
        </w:rPr>
        <w:t>הסמכות המינהלית</w:t>
      </w:r>
      <w:r>
        <w:rPr>
          <w:rFonts w:ascii="FrankRuehl" w:hAnsi="FrankRuehl"/>
          <w:sz w:val="28"/>
          <w:rtl/>
        </w:rPr>
        <w:t xml:space="preserve"> כרך ב 1295-1294 (מהדורה שנייה, 2011)). בשל סיבה זו, מצאנו לבחון ביתר זהירות את עמדת </w:t>
      </w:r>
      <w:r>
        <w:rPr>
          <w:rFonts w:ascii="FrankRuehl" w:hAnsi="FrankRuehl"/>
          <w:sz w:val="28"/>
          <w:rtl/>
        </w:rPr>
        <w:lastRenderedPageBreak/>
        <w:t>המשיבים. יודגש, כי על בית המשפט לבחון את חוקיות ההחלטה לפי הנימוקים החדשים, ולא להתעלם מהם, אך כל זאת "ביתר זהירות וביתר קפדנות בחזקת כבדהו וחשדהו" (שם</w:t>
      </w:r>
      <w:r>
        <w:rPr>
          <w:rFonts w:ascii="FrankRuehl" w:hAnsi="FrankRuehl" w:hint="cs"/>
          <w:sz w:val="28"/>
          <w:rtl/>
        </w:rPr>
        <w:t xml:space="preserve">). כך עשינו. </w:t>
      </w:r>
    </w:p>
    <w:p w:rsidR="001F0B27" w:rsidRDefault="001F0B27" w:rsidP="001F0B27">
      <w:pPr>
        <w:pStyle w:val="Ruller4"/>
        <w:rPr>
          <w:rtl/>
        </w:rPr>
      </w:pPr>
    </w:p>
    <w:p w:rsidR="001F0B27" w:rsidRDefault="001F0B27" w:rsidP="001F0B27">
      <w:pPr>
        <w:pStyle w:val="Ruller4"/>
        <w:rPr>
          <w:rFonts w:ascii="Century" w:hAnsi="Century"/>
          <w:shd w:val="clear" w:color="auto" w:fill="FFFFFF"/>
          <w:rtl/>
        </w:rPr>
      </w:pPr>
      <w:r>
        <w:rPr>
          <w:rFonts w:hint="cs"/>
          <w:rtl/>
        </w:rPr>
        <w:t>11.</w:t>
      </w:r>
      <w:r>
        <w:rPr>
          <w:rFonts w:hint="cs"/>
          <w:rtl/>
        </w:rPr>
        <w:tab/>
        <w:t xml:space="preserve">עמדנו על הרגישות והמתיחות בקרב הציבור בימים קשים אלה. נכון לשעת כתיבת שורות אלה, התרעות ואזהרות כי "שומר חומות 2" עומדים בפתח </w:t>
      </w:r>
      <w:r>
        <w:rPr>
          <w:rtl/>
        </w:rPr>
        <w:t>–</w:t>
      </w:r>
      <w:r>
        <w:rPr>
          <w:rFonts w:hint="cs"/>
          <w:rtl/>
        </w:rPr>
        <w:t xml:space="preserve"> התבדו, וטוב שכך. כפי שציין המפכ"ל עצמו במהלך דיון בוועדה לביטחון לאומי בכנסת, </w:t>
      </w:r>
      <w:r>
        <w:rPr>
          <w:rFonts w:ascii="Century" w:hAnsi="Century" w:hint="cs"/>
          <w:shd w:val="clear" w:color="auto" w:fill="FFFFFF"/>
          <w:rtl/>
        </w:rPr>
        <w:t>"צ</w:t>
      </w:r>
      <w:r w:rsidRPr="00BB574D">
        <w:rPr>
          <w:rFonts w:ascii="Century" w:hAnsi="Century"/>
          <w:shd w:val="clear" w:color="auto" w:fill="FFFFFF"/>
          <w:rtl/>
        </w:rPr>
        <w:t>ריך להגיד מילה טובה על התנהגות מופתית ואפס אירועים</w:t>
      </w:r>
      <w:r w:rsidRPr="00BB574D">
        <w:rPr>
          <w:rFonts w:ascii="Century" w:hAnsi="Century" w:hint="cs"/>
          <w:shd w:val="clear" w:color="auto" w:fill="FFFFFF"/>
          <w:rtl/>
        </w:rPr>
        <w:t>"</w:t>
      </w:r>
      <w:r>
        <w:rPr>
          <w:rFonts w:ascii="Century" w:hAnsi="Century" w:hint="cs"/>
          <w:shd w:val="clear" w:color="auto" w:fill="FFFFFF"/>
          <w:rtl/>
        </w:rPr>
        <w:t xml:space="preserve">. חשוב גם להדגיש כי </w:t>
      </w:r>
      <w:r>
        <w:rPr>
          <w:rFonts w:hint="cs"/>
          <w:rtl/>
        </w:rPr>
        <w:t xml:space="preserve">יש להבחין בין גילויי תמיכה באויב בעת מלחמה ודברי עידוד, שבח ואהדה למעשי טרור בכלל ולטבח שבוצע בעוטף עזה בפרט, לבין ביקורת מותרת על מדיניות הממשלה או </w:t>
      </w:r>
      <w:r w:rsidRPr="00BD6260">
        <w:rPr>
          <w:rFonts w:ascii="Century" w:hAnsi="Century"/>
          <w:shd w:val="clear" w:color="auto" w:fill="FFFFFF"/>
          <w:rtl/>
        </w:rPr>
        <w:t xml:space="preserve">הזדהות עם סבלם של תושבי עזה </w:t>
      </w:r>
      <w:r>
        <w:rPr>
          <w:rFonts w:ascii="Century" w:hAnsi="Century" w:hint="cs"/>
          <w:shd w:val="clear" w:color="auto" w:fill="FFFFFF"/>
          <w:rtl/>
        </w:rPr>
        <w:t>שנפגעו במהלך הלחימה ו</w:t>
      </w:r>
      <w:r w:rsidRPr="00BD6260">
        <w:rPr>
          <w:rFonts w:ascii="Century" w:hAnsi="Century"/>
          <w:shd w:val="clear" w:color="auto" w:fill="FFFFFF"/>
          <w:rtl/>
        </w:rPr>
        <w:t>שאינם מעורבים בפעילות טרור</w:t>
      </w:r>
      <w:r>
        <w:rPr>
          <w:rFonts w:ascii="Century" w:hAnsi="Century" w:hint="cs"/>
          <w:shd w:val="clear" w:color="auto" w:fill="FFFFFF"/>
          <w:rtl/>
        </w:rPr>
        <w:t>.</w:t>
      </w:r>
    </w:p>
    <w:p w:rsidR="001F0B27" w:rsidRDefault="001F0B27" w:rsidP="001F0B27">
      <w:pPr>
        <w:pStyle w:val="Ruller4"/>
        <w:rPr>
          <w:rFonts w:ascii="Century" w:hAnsi="Century"/>
          <w:shd w:val="clear" w:color="auto" w:fill="FFFFFF"/>
          <w:rtl/>
        </w:rPr>
      </w:pPr>
    </w:p>
    <w:p w:rsidR="001F0B27" w:rsidRDefault="001F0B27" w:rsidP="001F0B27">
      <w:pPr>
        <w:pStyle w:val="Ruller4"/>
        <w:rPr>
          <w:rtl/>
        </w:rPr>
      </w:pPr>
      <w:r>
        <w:rPr>
          <w:rFonts w:ascii="Century" w:hAnsi="Century" w:hint="cs"/>
          <w:shd w:val="clear" w:color="auto" w:fill="FFFFFF"/>
          <w:rtl/>
        </w:rPr>
        <w:t>12.</w:t>
      </w:r>
      <w:r>
        <w:rPr>
          <w:rFonts w:ascii="Century" w:hAnsi="Century" w:hint="cs"/>
          <w:shd w:val="clear" w:color="auto" w:fill="FFFFFF"/>
          <w:rtl/>
        </w:rPr>
        <w:tab/>
        <w:t xml:space="preserve">כאמור, </w:t>
      </w:r>
      <w:r>
        <w:rPr>
          <w:rFonts w:hint="cs"/>
          <w:rtl/>
        </w:rPr>
        <w:t xml:space="preserve">המשיבים נימקו את סירובם להתיר את ההפגנות נושא העתירות בחשש קרוב לוודאי שאלה עלולות להביא להסלמה חמורה וסיכון גבוה להתלקחות בגזרת הפנים, שעד עתה נותרה שקטה. בהקשר זה הציגו לנו המשיבים חוות דעת מודיעינית בה עיינו, בהסכמת העותרים, במעמד צד אחד וניהלנו שיח ושיג עם גורמי המשטרה. </w:t>
      </w:r>
    </w:p>
    <w:p w:rsidR="001F0B27" w:rsidRDefault="001F0B27" w:rsidP="001F0B27">
      <w:pPr>
        <w:pStyle w:val="Ruller4"/>
        <w:rPr>
          <w:rtl/>
        </w:rPr>
      </w:pPr>
    </w:p>
    <w:p w:rsidR="001F0B27" w:rsidRDefault="001F0B27" w:rsidP="001F0B27">
      <w:pPr>
        <w:pStyle w:val="Ruller4"/>
        <w:rPr>
          <w:rtl/>
        </w:rPr>
      </w:pPr>
      <w:r>
        <w:rPr>
          <w:rFonts w:hint="cs"/>
          <w:rtl/>
        </w:rPr>
        <w:t>13.</w:t>
      </w:r>
      <w:r>
        <w:rPr>
          <w:rFonts w:hint="cs"/>
          <w:rtl/>
        </w:rPr>
        <w:tab/>
      </w:r>
      <w:r>
        <w:rPr>
          <w:rFonts w:ascii="Century" w:hAnsi="Century" w:hint="cs"/>
          <w:shd w:val="clear" w:color="auto" w:fill="FFFFFF"/>
          <w:rtl/>
        </w:rPr>
        <w:t xml:space="preserve">בא כוחם של העותרים טען כי משמעות האיסור על קיום שתי ההפגנות הוא הלכה למעשה, איסור הפגנות במגזר הערבי בזמן מלחמה. לא נכחד כי הטענה הטרידה אותנו והקשינו על המשיבים בנושא זה. המשיבים חזרו וטענו בתוקף כי כל הפגנה נבחנת באופן קונקרטי; כי התקיימה עצרת באולם סגור בבקה אלגרביה; וכי אם הייתה מוגשת בקשה לקיום עצרת באולם סגור, חלף תהלוכה או עצרת תחת כיפת השמיים שסכנותיהן עמן, או בקשה הנוגעת למחוז אחר, היו שוקלים בקשה זו בחיוב. </w:t>
      </w:r>
      <w:r>
        <w:rPr>
          <w:rFonts w:hint="cs"/>
          <w:rtl/>
        </w:rPr>
        <w:t xml:space="preserve">בהקשר זה אציין כי העותרים טענו כי ביקשו לקיים עצרת משותפת באולם בחיפה, אך המשטרה התקשרה לבעל האולם וסיכלה את קיום העצרת. אין באפשרותנו לבחון טענה זו, אך ככל שהדברים נכונים, ברי כי המשטרה אינה יכולה לטעון בפנינו כי תשקול בחיוב קיום עצרת באולם וביד השנייה לסכל אפשרות זו, ויש לבחון את הדברים. </w:t>
      </w:r>
    </w:p>
    <w:p w:rsidR="001F0B27" w:rsidRDefault="001F0B27" w:rsidP="001F0B27">
      <w:pPr>
        <w:pStyle w:val="Ruller4"/>
        <w:rPr>
          <w:rtl/>
        </w:rPr>
      </w:pPr>
    </w:p>
    <w:p w:rsidR="001F0B27" w:rsidRDefault="001F0B27" w:rsidP="001F0B27">
      <w:pPr>
        <w:pStyle w:val="Ruller4"/>
        <w:rPr>
          <w:rtl/>
        </w:rPr>
      </w:pPr>
      <w:r>
        <w:rPr>
          <w:rFonts w:hint="cs"/>
          <w:rtl/>
        </w:rPr>
        <w:t>14.</w:t>
      </w:r>
      <w:r>
        <w:rPr>
          <w:rFonts w:hint="cs"/>
          <w:rtl/>
        </w:rPr>
        <w:tab/>
      </w:r>
      <w:r w:rsidRPr="00724C1C">
        <w:rPr>
          <w:rFonts w:hint="cs"/>
          <w:rtl/>
        </w:rPr>
        <w:t xml:space="preserve"> </w:t>
      </w:r>
      <w:r>
        <w:rPr>
          <w:rFonts w:hint="cs"/>
          <w:rtl/>
        </w:rPr>
        <w:t xml:space="preserve">נקודת המוצא צריכה להיות גישה קפדנית ביותר ביחס לעילה הראשונה, באשר בעיתות מלחמה ומשבר, המחאה היא חשובה במיוחד, גם אם כואבת במיוחד. אך כפי שנבהיר, הגענו לכלל מסקנה כי דין העתירה להידחות בעיקר בשל העילה  השנייה שהעלו המשיבים. לעילה זו יש יחסי גומלין עם העילה הראשונה, באשר אילוצי כוח האדם של המשטרה במחוז הצפון ובמחוז החוף, מביאים את החשש לפגיעה בסדר הציבורי ובטחון </w:t>
      </w:r>
      <w:r>
        <w:rPr>
          <w:rFonts w:hint="cs"/>
          <w:rtl/>
        </w:rPr>
        <w:lastRenderedPageBreak/>
        <w:t xml:space="preserve">הציבור לרף של ודאות קרובה </w:t>
      </w:r>
      <w:r w:rsidRPr="002E6D4E">
        <w:rPr>
          <w:rFonts w:hint="cs"/>
          <w:rtl/>
        </w:rPr>
        <w:t xml:space="preserve">(וראו </w:t>
      </w:r>
      <w:r w:rsidRPr="00E039AE">
        <w:rPr>
          <w:rFonts w:hint="cs"/>
          <w:rtl/>
        </w:rPr>
        <w:t xml:space="preserve">על דרך ההיקש </w:t>
      </w:r>
      <w:r w:rsidRPr="002E6D4E">
        <w:rPr>
          <w:rFonts w:hint="cs"/>
          <w:rtl/>
        </w:rPr>
        <w:t xml:space="preserve">רמת האיזון השנייה בעניין </w:t>
      </w:r>
      <w:r w:rsidRPr="00E039AE">
        <w:rPr>
          <w:rFonts w:ascii="Century" w:hAnsi="Century" w:cs="Miriam" w:hint="cs"/>
          <w:b/>
          <w:spacing w:val="0"/>
          <w:szCs w:val="24"/>
          <w:rtl/>
        </w:rPr>
        <w:t>משי זהב</w:t>
      </w:r>
      <w:r w:rsidRPr="00E039AE">
        <w:rPr>
          <w:rFonts w:hint="cs"/>
          <w:rtl/>
        </w:rPr>
        <w:t>,</w:t>
      </w:r>
      <w:r w:rsidRPr="002E6D4E">
        <w:rPr>
          <w:rFonts w:hint="cs"/>
          <w:rtl/>
        </w:rPr>
        <w:t xml:space="preserve"> שם נזכרת האפשרות </w:t>
      </w:r>
      <w:r w:rsidRPr="00E039AE">
        <w:rPr>
          <w:rFonts w:hint="cs"/>
          <w:sz w:val="28"/>
          <w:rtl/>
        </w:rPr>
        <w:t xml:space="preserve">כי </w:t>
      </w:r>
      <w:r w:rsidRPr="002E6D4E">
        <w:rPr>
          <w:rFonts w:hint="cs"/>
          <w:sz w:val="28"/>
          <w:rtl/>
        </w:rPr>
        <w:t>למשטרה אין כוח-אדם מספיק לאבטחת האירוע)</w:t>
      </w:r>
      <w:r w:rsidRPr="002E6D4E">
        <w:rPr>
          <w:rFonts w:hint="cs"/>
          <w:rtl/>
        </w:rPr>
        <w:t>.</w:t>
      </w:r>
    </w:p>
    <w:p w:rsidR="001F0B27" w:rsidRDefault="001F0B27" w:rsidP="001F0B27">
      <w:pPr>
        <w:pStyle w:val="Ruller4"/>
        <w:rPr>
          <w:rtl/>
        </w:rPr>
      </w:pPr>
    </w:p>
    <w:p w:rsidR="001F0B27" w:rsidRDefault="001F0B27" w:rsidP="001F0B27">
      <w:pPr>
        <w:pStyle w:val="Ruller4"/>
        <w:rPr>
          <w:rtl/>
        </w:rPr>
      </w:pPr>
      <w:r>
        <w:rPr>
          <w:rFonts w:hint="cs"/>
          <w:rtl/>
        </w:rPr>
        <w:t>15.</w:t>
      </w:r>
      <w:r>
        <w:rPr>
          <w:rFonts w:hint="cs"/>
          <w:rtl/>
        </w:rPr>
        <w:tab/>
        <w:t xml:space="preserve">ככלל, על המשטרה להקצות כוח אדם לשם קיומן של הפגנות ושמירה על שלומם של המפגינים ועל קיום הסדר הציבורי. אין לי אלא </w:t>
      </w:r>
      <w:r w:rsidRPr="00430CCB">
        <w:rPr>
          <w:rFonts w:hint="cs"/>
          <w:rtl/>
        </w:rPr>
        <w:t xml:space="preserve">להפנות </w:t>
      </w:r>
      <w:r w:rsidRPr="00430CCB">
        <w:rPr>
          <w:rFonts w:hint="eastAsia"/>
          <w:rtl/>
        </w:rPr>
        <w:t>לסעיף</w:t>
      </w:r>
      <w:r w:rsidRPr="00430CCB">
        <w:rPr>
          <w:rtl/>
        </w:rPr>
        <w:t xml:space="preserve"> 12ח </w:t>
      </w:r>
      <w:r w:rsidRPr="00430CCB">
        <w:rPr>
          <w:rFonts w:hint="cs"/>
          <w:rtl/>
        </w:rPr>
        <w:t>להנחיית היועץ המשפטי לממשלה</w:t>
      </w:r>
      <w:r w:rsidRPr="00430CCB">
        <w:rPr>
          <w:rtl/>
        </w:rPr>
        <w:t>:</w:t>
      </w:r>
    </w:p>
    <w:p w:rsidR="001F0B27" w:rsidRDefault="001F0B27" w:rsidP="001F0B27">
      <w:pPr>
        <w:pStyle w:val="Ruller5"/>
        <w:rPr>
          <w:rtl/>
        </w:rPr>
      </w:pPr>
    </w:p>
    <w:p w:rsidR="001F0B27" w:rsidRDefault="001F0B27" w:rsidP="001F0B27">
      <w:pPr>
        <w:pStyle w:val="Ruller5"/>
        <w:rPr>
          <w:rtl/>
        </w:rPr>
      </w:pPr>
      <w:r>
        <w:rPr>
          <w:rFonts w:hint="cs"/>
          <w:rtl/>
        </w:rPr>
        <w:t>"</w:t>
      </w:r>
      <w:r>
        <w:rPr>
          <w:rtl/>
        </w:rPr>
        <w:t xml:space="preserve">העובדה שקיום הפגנה יחייב את המשטרה להקצות מכוחותיה כדי לשמור על הבטחון והסדר בעת ההפגנה, ובכך יכביד על פעילותה, אין בה כשלעצמה כדי למנוע רשיון. המשטרה חייבת להקצות שוטרים, במסגרת המשאבים העומדים לראשותה, גם כדי לאפשר מימוש הזכות לקיים הפגנה. </w:t>
      </w:r>
      <w:r w:rsidRPr="00BB574D">
        <w:rPr>
          <w:rFonts w:ascii="Century" w:hAnsi="Century" w:cs="Miriam"/>
          <w:b/>
          <w:spacing w:val="0"/>
          <w:szCs w:val="24"/>
          <w:rtl/>
        </w:rPr>
        <w:t>רק בנסיבות מיוחדות, כאשר צרכים עדיפים אינם מאפשרים למשטרה להקצות את כוח האדם הדרוש כדי לקיים את הסדר בהפגנה במקום ובמועד המבוקשים,</w:t>
      </w:r>
      <w:r>
        <w:rPr>
          <w:rtl/>
        </w:rPr>
        <w:t xml:space="preserve"> רשאית המשטרה לדרוש את שינוי המועד הנקוב לקיום ההפגנה, או לדרוש שינויים או תנאים אחרי</w:t>
      </w:r>
      <w:r>
        <w:rPr>
          <w:rFonts w:hint="cs"/>
          <w:rtl/>
        </w:rPr>
        <w:t xml:space="preserve">ם, </w:t>
      </w:r>
      <w:r>
        <w:rPr>
          <w:rtl/>
        </w:rPr>
        <w:t>בהתאם לנסיבות</w:t>
      </w:r>
      <w:r>
        <w:rPr>
          <w:rFonts w:hint="cs"/>
          <w:rtl/>
        </w:rPr>
        <w:t>".</w:t>
      </w:r>
    </w:p>
    <w:p w:rsidR="001F0B27" w:rsidRDefault="001F0B27" w:rsidP="001F0B27">
      <w:pPr>
        <w:pStyle w:val="Ruller4"/>
        <w:rPr>
          <w:rtl/>
        </w:rPr>
      </w:pPr>
    </w:p>
    <w:p w:rsidR="001F0B27" w:rsidRDefault="001F0B27" w:rsidP="001F0B27">
      <w:pPr>
        <w:pStyle w:val="Ruller4"/>
        <w:rPr>
          <w:rtl/>
        </w:rPr>
      </w:pPr>
      <w:r>
        <w:rPr>
          <w:rtl/>
        </w:rPr>
        <w:tab/>
      </w:r>
      <w:r>
        <w:rPr>
          <w:rFonts w:hint="cs"/>
          <w:rtl/>
        </w:rPr>
        <w:t>בפסיקה נקבע כי ניתן להתחשב בשיקולי כוח אדם של המשטרה, לנוכח  התפקידים הרבים מספור שמוטלים עליה:</w:t>
      </w:r>
    </w:p>
    <w:p w:rsidR="001F0B27" w:rsidRDefault="001F0B27" w:rsidP="001F0B27">
      <w:pPr>
        <w:pStyle w:val="Ruller5"/>
        <w:rPr>
          <w:rtl/>
        </w:rPr>
      </w:pPr>
    </w:p>
    <w:p w:rsidR="001F0B27" w:rsidRDefault="001F0B27" w:rsidP="001F0B27">
      <w:pPr>
        <w:pStyle w:val="Ruller5"/>
        <w:rPr>
          <w:rtl/>
        </w:rPr>
      </w:pPr>
      <w:r>
        <w:rPr>
          <w:rFonts w:hint="cs"/>
          <w:rtl/>
        </w:rPr>
        <w:t>"</w:t>
      </w:r>
      <w:r>
        <w:rPr>
          <w:rtl/>
        </w:rPr>
        <w:t>בקביעת סבירותם של האמצעים יש להתחשב, בין השאר, בכוחות העומדים לרשות המשטרה, במיומנותם ובציודם ובגודלו של קהל המפגינים והצופים. כן יש להתחשב בשאר התפקידים המוטלים על המשטרה</w:t>
      </w:r>
      <w:r>
        <w:rPr>
          <w:rFonts w:hint="cs"/>
          <w:rtl/>
        </w:rPr>
        <w:t xml:space="preserve"> [...] </w:t>
      </w:r>
      <w:r>
        <w:rPr>
          <w:rtl/>
        </w:rPr>
        <w:t xml:space="preserve"> אף שמתן הגנה נאותה למפגינים הוא מחובתה של המשטרה, אין זו החובה היחידה המוטלת עליה, ועליה להקצות את כוחותיה באופן שתוכל למלא באופן סביר את שאר המטלות המוטלות על כתפיה</w:t>
      </w:r>
      <w:r>
        <w:rPr>
          <w:rFonts w:hint="cs"/>
          <w:rtl/>
        </w:rPr>
        <w:t xml:space="preserve"> (עניין </w:t>
      </w:r>
      <w:r w:rsidRPr="00430CCB">
        <w:rPr>
          <w:rFonts w:ascii="Century" w:hAnsi="Century" w:cs="Miriam" w:hint="eastAsia"/>
          <w:b/>
          <w:spacing w:val="0"/>
          <w:szCs w:val="24"/>
          <w:rtl/>
        </w:rPr>
        <w:t>לוי</w:t>
      </w:r>
      <w:r>
        <w:rPr>
          <w:rFonts w:hint="cs"/>
          <w:rtl/>
        </w:rPr>
        <w:t>, פסקה 12).</w:t>
      </w:r>
    </w:p>
    <w:p w:rsidR="001F0B27" w:rsidRDefault="001F0B27" w:rsidP="001F0B27">
      <w:pPr>
        <w:pStyle w:val="Ruller5"/>
        <w:rPr>
          <w:rtl/>
        </w:rPr>
      </w:pPr>
    </w:p>
    <w:p w:rsidR="001F0B27" w:rsidRDefault="001F0B27" w:rsidP="001F0B27">
      <w:pPr>
        <w:pStyle w:val="Ruller5"/>
        <w:rPr>
          <w:rtl/>
        </w:rPr>
      </w:pPr>
      <w:r>
        <w:rPr>
          <w:rFonts w:hint="cs"/>
          <w:rtl/>
        </w:rPr>
        <w:t>"</w:t>
      </w:r>
      <w:r>
        <w:rPr>
          <w:rtl/>
        </w:rPr>
        <w:t>בחינת סבירותם של האמצעים שבידי המשטרה לנקוט כדי להבטיח את הסדר הציבורי בעת התהלוכה אינה נעשית על-פי אמת מידה תיאורטית, אלא בהתחשב במכלול הנסיבות הקונקרטיות, ובכלל זה נסיבות של הזמן והמקום. שכן האמצעים העומדים לרשות המשטרה (בכוח אדם ובציוד) כדי למלא אותה שעה את כל משימותיה אינם בלתי נדלים, כשם שיש שתנאי המקום אינם מאפשרים למשטרה, בכל מקרה, שליטה אפקטיבית בנעשה ומניעת הסכנה הצפויה</w:t>
      </w:r>
      <w:r>
        <w:rPr>
          <w:rFonts w:hint="cs"/>
          <w:rtl/>
        </w:rPr>
        <w:t xml:space="preserve">" (בג"ץ 411/89 </w:t>
      </w:r>
      <w:r w:rsidRPr="002A7443">
        <w:rPr>
          <w:rFonts w:ascii="Century" w:hAnsi="Century" w:cs="Miriam" w:hint="cs"/>
          <w:b/>
          <w:spacing w:val="0"/>
          <w:szCs w:val="24"/>
          <w:rtl/>
        </w:rPr>
        <w:t>תנועת נאמני הר הבית וארץ ישראל נ' מפקד משטרת מרחב ירושלים</w:t>
      </w:r>
      <w:r>
        <w:rPr>
          <w:rFonts w:hint="cs"/>
          <w:rtl/>
        </w:rPr>
        <w:t xml:space="preserve">, פ"ד מג(2) 17, 21 (1989) (להלן: עניין הר הבית). </w:t>
      </w:r>
    </w:p>
    <w:p w:rsidR="001F0B27" w:rsidRDefault="001F0B27" w:rsidP="001F0B27">
      <w:pPr>
        <w:pStyle w:val="Ruller5"/>
        <w:rPr>
          <w:rtl/>
        </w:rPr>
      </w:pPr>
    </w:p>
    <w:p w:rsidR="001F0B27" w:rsidRDefault="001F0B27" w:rsidP="001F0B27">
      <w:pPr>
        <w:pStyle w:val="Ruller4"/>
        <w:rPr>
          <w:rtl/>
        </w:rPr>
      </w:pPr>
    </w:p>
    <w:p w:rsidR="001F0B27" w:rsidRDefault="001F0B27" w:rsidP="001F0B27">
      <w:pPr>
        <w:pStyle w:val="Ruller4"/>
        <w:rPr>
          <w:rtl/>
        </w:rPr>
      </w:pPr>
      <w:r>
        <w:rPr>
          <w:rFonts w:hint="cs"/>
          <w:rtl/>
        </w:rPr>
        <w:lastRenderedPageBreak/>
        <w:t>16.</w:t>
      </w:r>
      <w:r>
        <w:rPr>
          <w:rFonts w:hint="cs"/>
          <w:rtl/>
        </w:rPr>
        <w:tab/>
        <w:t xml:space="preserve">כך נאמר בעניין </w:t>
      </w:r>
      <w:r w:rsidRPr="00DF3ADD">
        <w:rPr>
          <w:rFonts w:ascii="Century" w:hAnsi="Century" w:cs="Miriam" w:hint="cs"/>
          <w:b/>
          <w:spacing w:val="0"/>
          <w:szCs w:val="24"/>
          <w:rtl/>
        </w:rPr>
        <w:t>הר הבית</w:t>
      </w:r>
      <w:r w:rsidRPr="00D5240D">
        <w:rPr>
          <w:rFonts w:hint="cs"/>
          <w:rtl/>
        </w:rPr>
        <w:t xml:space="preserve"> </w:t>
      </w:r>
      <w:r>
        <w:rPr>
          <w:rFonts w:hint="cs"/>
          <w:rtl/>
        </w:rPr>
        <w:t xml:space="preserve">על רקע המשימות הרבות שהוטלו על המשטרה ביום ירושלים, ודומה כי הדברים נכונים ביתר שאת למצב המלחמה הנוכחי, שכמותו לא ידעה ישראל מזה שנים רבות, מלחמה שבה גם העורף מאוים והפך לחזית. במצב דברים חריג עד-מאוד זה, עולה המשקל של אילוצי כוח אדם ומגבלות זמן ומקום. לאחר שעיינו בחומר שלפנינו ושמענו את המשיבים, הן בדיון במעמד הצדדים הן במעמד צד אחד, השתכנענו כי לעת הזו, בהינתן עומס המשימות הרב שבו עוסקת המשטרה מזה כחודש ימים, אין באפשרותה להקצות את כוח האדם הנדרש לשם הבטחת הסדר הציבורי בהפגנות נושא העתירה. השוטרים עובדים מזה תקופה במשמרות של 12 שעות, ותחום השיפוט של מחוז חוף ומחוז הצפון משתרע מגבול הלבנון דרומה. שני המחוזות מעורבים אפוא בפעילות המלחמתית בזירה הצפונית, שבימים ובשעות אלה סופגת מעת לעת רקטות שנורות מלבנון על אזורים שונים בצפון המדינה. הצורך של המשטרה בשני מחוזות אלה לפקח על קיומן של התהלוכה והעצרת  בעת הזו, מחייב הסטה של שוטרים רבים למשימה זו, על חשבון משימות חירום של פיקוח נפש. </w:t>
      </w:r>
    </w:p>
    <w:p w:rsidR="001F0B27" w:rsidRDefault="001F0B27" w:rsidP="001F0B27">
      <w:pPr>
        <w:pStyle w:val="Ruller4"/>
        <w:rPr>
          <w:rtl/>
        </w:rPr>
      </w:pPr>
      <w:r>
        <w:rPr>
          <w:rtl/>
        </w:rPr>
        <w:tab/>
      </w:r>
    </w:p>
    <w:p w:rsidR="001F0B27" w:rsidRDefault="001F0B27" w:rsidP="001F0B27">
      <w:pPr>
        <w:pStyle w:val="Ruller4"/>
        <w:rPr>
          <w:rtl/>
        </w:rPr>
      </w:pPr>
      <w:r>
        <w:rPr>
          <w:rFonts w:hint="cs"/>
          <w:rtl/>
        </w:rPr>
        <w:t>17.</w:t>
      </w:r>
      <w:r>
        <w:rPr>
          <w:rFonts w:hint="cs"/>
          <w:rtl/>
        </w:rPr>
        <w:tab/>
        <w:t xml:space="preserve">חשוב להדגיש: שערי מחאה, הפגנה ותהלוכה פתוחים גם בזמן מלחמה, ופסק דיננו זה ניתן על רקע הנסיבות הקונקרטיות שהוצגו בפנינו. אין משמעות הדבר כי בכל שעת מלחמה או לכל אורך הלחימה, אין מקום לקיום הפגנות. בשעת מלחמה, במיוחד מלחמה כבדת דמים וכבדת ימים, הזכות לביקורת ציבורית ולמחאה הפוליטית לא נסוגה לאחור. לא בכדי הדגיש מפקד מחוז צפון בתשובתו "למען הסר ספק, יודגש כי הסירוב הנו למחאה הזו </w:t>
      </w:r>
      <w:r w:rsidRPr="00EA75AD">
        <w:rPr>
          <w:rFonts w:ascii="Century" w:hAnsi="Century" w:cs="Miriam" w:hint="cs"/>
          <w:b/>
          <w:spacing w:val="0"/>
          <w:szCs w:val="24"/>
          <w:rtl/>
        </w:rPr>
        <w:t>בעת הזו, לאור הנסיבות המסוימות</w:t>
      </w:r>
      <w:r>
        <w:rPr>
          <w:rFonts w:hint="cs"/>
          <w:rtl/>
        </w:rPr>
        <w:t xml:space="preserve"> ואין כאן משום קביעה עקרונית" (הדגשה הוספה </w:t>
      </w:r>
      <w:r>
        <w:rPr>
          <w:rtl/>
        </w:rPr>
        <w:t>–</w:t>
      </w:r>
      <w:r>
        <w:rPr>
          <w:rFonts w:hint="cs"/>
          <w:rtl/>
        </w:rPr>
        <w:t xml:space="preserve"> י"ע). </w:t>
      </w:r>
    </w:p>
    <w:p w:rsidR="001F0B27" w:rsidRDefault="001F0B27" w:rsidP="001F0B27">
      <w:pPr>
        <w:pStyle w:val="Ruller4"/>
        <w:rPr>
          <w:rtl/>
        </w:rPr>
      </w:pPr>
      <w:r>
        <w:rPr>
          <w:rFonts w:hint="cs"/>
          <w:rtl/>
        </w:rPr>
        <w:t xml:space="preserve">  </w:t>
      </w:r>
    </w:p>
    <w:p w:rsidR="001F0B27" w:rsidRDefault="001F0B27" w:rsidP="001F0B27">
      <w:pPr>
        <w:pStyle w:val="Ruller4"/>
        <w:rPr>
          <w:rtl/>
        </w:rPr>
      </w:pPr>
      <w:r>
        <w:rPr>
          <w:rtl/>
        </w:rPr>
        <w:tab/>
      </w:r>
      <w:r>
        <w:rPr>
          <w:rFonts w:hint="cs"/>
          <w:rtl/>
        </w:rPr>
        <w:t xml:space="preserve">בהינתן שאיסור הפגנה או תהלוכה אינו הצעד הראשון אלא הצעד האחרון, רשמנו אפוא לפנינו התחייבות המשיבים כי ככל שתוגשנה בהמשך בקשות לקיום הפגנות, כל בקשה תיבדק לגופה על בסיס הערכות מצב עדכניות ועל פי תנאי הזמן והמקום. כאמור, בשלב זה, אף הוצע לעותרים לבחון אפשרות של קיום עצרת באולם סגור חלף התהלוכה והעצרת שהתבקשו. </w:t>
      </w:r>
    </w:p>
    <w:p w:rsidR="001F0B27" w:rsidRDefault="001F0B27" w:rsidP="001F0B27">
      <w:pPr>
        <w:pStyle w:val="Ruller4"/>
        <w:rPr>
          <w:rtl/>
        </w:rPr>
      </w:pPr>
    </w:p>
    <w:p w:rsidR="001F0B27" w:rsidRDefault="001F0B27" w:rsidP="001F0B27">
      <w:pPr>
        <w:pStyle w:val="Ruller4"/>
        <w:rPr>
          <w:rtl/>
        </w:rPr>
      </w:pPr>
      <w:r>
        <w:rPr>
          <w:rFonts w:hint="cs"/>
          <w:rtl/>
        </w:rPr>
        <w:t>18.</w:t>
      </w:r>
      <w:r>
        <w:rPr>
          <w:rFonts w:hint="cs"/>
          <w:rtl/>
        </w:rPr>
        <w:tab/>
        <w:t xml:space="preserve">סוף דבר, העתירה נדחית. </w:t>
      </w:r>
    </w:p>
    <w:p w:rsidR="001F0B27" w:rsidRDefault="001F0B27" w:rsidP="001F0B27">
      <w:pPr>
        <w:pStyle w:val="Ruller4"/>
        <w:rPr>
          <w:rtl/>
        </w:rPr>
      </w:pPr>
    </w:p>
    <w:p w:rsidR="001F0B27" w:rsidRDefault="001F0B27" w:rsidP="001F0B27">
      <w:pPr>
        <w:pStyle w:val="Ruller4"/>
        <w:rPr>
          <w:rtl/>
        </w:rPr>
      </w:pPr>
    </w:p>
    <w:p w:rsidR="001F0B27" w:rsidRDefault="001F0B27" w:rsidP="001F0B27">
      <w:pPr>
        <w:pStyle w:val="Ruller4"/>
        <w:rPr>
          <w:rtl/>
        </w:rPr>
      </w:pPr>
      <w:r>
        <w:rPr>
          <w:rtl/>
        </w:rPr>
        <w:tab/>
      </w:r>
      <w:r>
        <w:rPr>
          <w:rtl/>
        </w:rPr>
        <w:tab/>
      </w:r>
      <w:r>
        <w:rPr>
          <w:rtl/>
        </w:rPr>
        <w:tab/>
      </w:r>
      <w:r>
        <w:rPr>
          <w:rtl/>
        </w:rPr>
        <w:tab/>
      </w:r>
      <w:r>
        <w:rPr>
          <w:rtl/>
        </w:rPr>
        <w:tab/>
      </w:r>
      <w:r>
        <w:rPr>
          <w:rtl/>
        </w:rPr>
        <w:tab/>
      </w:r>
      <w:r>
        <w:rPr>
          <w:rtl/>
        </w:rPr>
        <w:tab/>
      </w:r>
      <w:r>
        <w:rPr>
          <w:rtl/>
        </w:rPr>
        <w:tab/>
      </w:r>
      <w:r>
        <w:rPr>
          <w:rtl/>
        </w:rPr>
        <w:tab/>
      </w:r>
      <w:r>
        <w:rPr>
          <w:rFonts w:hint="cs"/>
          <w:rtl/>
        </w:rPr>
        <w:t>ש ו פ ט</w:t>
      </w:r>
    </w:p>
    <w:p w:rsidR="001F0B27" w:rsidRDefault="001F0B27" w:rsidP="001F0B27">
      <w:pPr>
        <w:pStyle w:val="Ruller4"/>
        <w:rPr>
          <w:rtl/>
        </w:rPr>
      </w:pPr>
    </w:p>
    <w:p w:rsidR="001F0B27" w:rsidRDefault="001F0B27" w:rsidP="001F0B27">
      <w:pPr>
        <w:pStyle w:val="Ruller4"/>
        <w:rPr>
          <w:rtl/>
        </w:rPr>
      </w:pPr>
    </w:p>
    <w:p w:rsidR="001F0B27" w:rsidRDefault="001F0B27" w:rsidP="001F0B27">
      <w:pPr>
        <w:pStyle w:val="Ruller4"/>
        <w:rPr>
          <w:rtl/>
        </w:rPr>
      </w:pPr>
      <w:r w:rsidRPr="001F0B27">
        <w:rPr>
          <w:rFonts w:ascii="Century" w:hAnsi="Century" w:cs="Miriam" w:hint="cs"/>
          <w:b/>
          <w:spacing w:val="0"/>
          <w:szCs w:val="24"/>
          <w:u w:val="single"/>
          <w:rtl/>
        </w:rPr>
        <w:lastRenderedPageBreak/>
        <w:t>השופטת ר' רונן</w:t>
      </w:r>
      <w:r w:rsidRPr="001F0B27">
        <w:rPr>
          <w:rFonts w:ascii="Century" w:hAnsi="Century" w:cs="Miriam" w:hint="cs"/>
          <w:b/>
          <w:spacing w:val="0"/>
          <w:szCs w:val="24"/>
          <w:rtl/>
        </w:rPr>
        <w:t>:</w:t>
      </w:r>
    </w:p>
    <w:p w:rsidR="001F0B27" w:rsidRDefault="001F0B27" w:rsidP="001F0B27">
      <w:pPr>
        <w:pStyle w:val="Ruller4"/>
        <w:rPr>
          <w:rtl/>
        </w:rPr>
      </w:pPr>
    </w:p>
    <w:p w:rsidR="001F0B27" w:rsidRDefault="001F0B27" w:rsidP="001F0B27">
      <w:pPr>
        <w:pStyle w:val="Ruller4"/>
        <w:rPr>
          <w:rtl/>
        </w:rPr>
      </w:pPr>
      <w:r>
        <w:rPr>
          <w:rtl/>
        </w:rPr>
        <w:tab/>
      </w:r>
      <w:r>
        <w:rPr>
          <w:rFonts w:hint="cs"/>
          <w:rtl/>
        </w:rPr>
        <w:t>אני מסכימה עם פסק דינו של חברי, השופט</w:t>
      </w:r>
      <w:r w:rsidRPr="00E56A64">
        <w:rPr>
          <w:rFonts w:ascii="Century" w:hAnsi="Century" w:cs="Miriam" w:hint="cs"/>
          <w:b/>
          <w:spacing w:val="0"/>
          <w:szCs w:val="24"/>
          <w:rtl/>
        </w:rPr>
        <w:t xml:space="preserve"> י' עמית</w:t>
      </w:r>
      <w:r>
        <w:rPr>
          <w:rFonts w:hint="cs"/>
          <w:rtl/>
        </w:rPr>
        <w:t xml:space="preserve">. </w:t>
      </w:r>
    </w:p>
    <w:p w:rsidR="001F0B27" w:rsidRDefault="001F0B27" w:rsidP="001F0B27">
      <w:pPr>
        <w:pStyle w:val="Ruller4"/>
        <w:rPr>
          <w:rtl/>
        </w:rPr>
      </w:pPr>
    </w:p>
    <w:p w:rsidR="001F0B27" w:rsidRDefault="001F0B27" w:rsidP="001F0B27">
      <w:pPr>
        <w:pStyle w:val="Ruller4"/>
        <w:rPr>
          <w:rtl/>
        </w:rPr>
      </w:pPr>
      <w:r>
        <w:rPr>
          <w:rtl/>
        </w:rPr>
        <w:tab/>
      </w:r>
      <w:r>
        <w:rPr>
          <w:rFonts w:hint="cs"/>
          <w:rtl/>
        </w:rPr>
        <w:t xml:space="preserve">כפי שהבהיר והדגיש חברי, חירות ההפגנה והתהלוכה הן חרויות יסוד, שרק במקרים חריגים ביותר ניתן לשלול אותן. יתרה מזאת </w:t>
      </w:r>
      <w:r>
        <w:rPr>
          <w:rtl/>
        </w:rPr>
        <w:t>–</w:t>
      </w:r>
      <w:r>
        <w:rPr>
          <w:rFonts w:hint="cs"/>
          <w:rtl/>
        </w:rPr>
        <w:t xml:space="preserve"> ככלל על המשטרה להקצות כוחות כדי לשמור על הסדר הציבורי בעת ההפגנה, וההכרח לעשות כן וההכבדה הכרוכה בכך, לא ימנעו בדרך כלל מתן רישיון להפגין. </w:t>
      </w:r>
    </w:p>
    <w:p w:rsidR="001F0B27" w:rsidRDefault="001F0B27" w:rsidP="001F0B27">
      <w:pPr>
        <w:pStyle w:val="Ruller4"/>
        <w:rPr>
          <w:rtl/>
        </w:rPr>
      </w:pPr>
    </w:p>
    <w:p w:rsidR="001F0B27" w:rsidRDefault="001F0B27" w:rsidP="001F0B27">
      <w:pPr>
        <w:pStyle w:val="Ruller4"/>
        <w:rPr>
          <w:rtl/>
        </w:rPr>
      </w:pPr>
      <w:r>
        <w:rPr>
          <w:rtl/>
        </w:rPr>
        <w:tab/>
      </w:r>
      <w:r>
        <w:rPr>
          <w:rFonts w:hint="cs"/>
          <w:rtl/>
        </w:rPr>
        <w:t xml:space="preserve">יחד עם זאת, וכפי שעולה גם מהנחיות היועץ המשפטי לממשלה (הנחייה 3.1200), המשטרה רשאית למנוע קיום הפגנה במועד או במקום מסוימים, </w:t>
      </w:r>
      <w:r w:rsidRPr="00334E38">
        <w:rPr>
          <w:rFonts w:ascii="Century" w:hAnsi="Century" w:cs="Miriam" w:hint="cs"/>
          <w:b/>
          <w:spacing w:val="0"/>
          <w:szCs w:val="24"/>
          <w:rtl/>
        </w:rPr>
        <w:t xml:space="preserve">בנסיבות מיוחדות </w:t>
      </w:r>
      <w:r>
        <w:rPr>
          <w:rFonts w:hint="cs"/>
          <w:rtl/>
        </w:rPr>
        <w:t xml:space="preserve">בהן ישנם צרכים עדיפים אשר אינם מאפשרים לה להקצות את כוח האדם הדרוש על מנת לקיים את ההפגנה </w:t>
      </w:r>
      <w:r w:rsidRPr="00E56A64">
        <w:rPr>
          <w:rFonts w:ascii="Century" w:hAnsi="Century" w:cs="Miriam" w:hint="cs"/>
          <w:b/>
          <w:spacing w:val="0"/>
          <w:szCs w:val="24"/>
          <w:rtl/>
        </w:rPr>
        <w:t>במקום ובמועד</w:t>
      </w:r>
      <w:r>
        <w:rPr>
          <w:rFonts w:hint="cs"/>
          <w:rtl/>
        </w:rPr>
        <w:t xml:space="preserve"> המבוקשים (סעיף ח' להנחיות). המשטרה היא האמונה על השאלה מהו כוח האדם שיידרש לה כדי לשמור על הסדר הציבורי בהפגנה, והיא גם אמונה ככלל על חלוקה מתאימה של הכוחות שלה לצורך מילוי כלל משימותיה. </w:t>
      </w:r>
    </w:p>
    <w:p w:rsidR="001F0B27" w:rsidRDefault="001F0B27" w:rsidP="001F0B27">
      <w:pPr>
        <w:pStyle w:val="Ruller4"/>
        <w:rPr>
          <w:rtl/>
        </w:rPr>
      </w:pPr>
    </w:p>
    <w:p w:rsidR="001F0B27" w:rsidRDefault="001F0B27" w:rsidP="001F0B27">
      <w:pPr>
        <w:pStyle w:val="Ruller4"/>
        <w:rPr>
          <w:rtl/>
        </w:rPr>
      </w:pPr>
      <w:r>
        <w:rPr>
          <w:rtl/>
        </w:rPr>
        <w:tab/>
      </w:r>
      <w:r>
        <w:rPr>
          <w:rFonts w:hint="cs"/>
          <w:rtl/>
        </w:rPr>
        <w:t xml:space="preserve">הנסיבות בימים אלה הן בוודאי נסיבות מיוחדות, נסיבות יוצאות דופן </w:t>
      </w:r>
      <w:r>
        <w:rPr>
          <w:rtl/>
        </w:rPr>
        <w:t>–</w:t>
      </w:r>
      <w:r>
        <w:rPr>
          <w:rFonts w:hint="cs"/>
          <w:rtl/>
        </w:rPr>
        <w:t xml:space="preserve"> כאלה שלא ידענו כמותן. מדובר בימי מלחמה קשים, ובנסיבות המחייבות הקצאת כוח אדם של המשטרה לצורך טיפול במגוון רחב של בעיות הנובעות מכך. בכלל זה ישנם צרכים מיוחדים שמחוזות חוף והצפון של המשטרה צריכים להיות ערוכים אליהם, וזאת בין היתר נוכח מתקפת הטילים מצפון והמתיחות הרבה בגבול הצפוני. כל אלה הובהרו בהרחבה בתשובת המשיבים, בדיון בעל פה ובפסק דינו של חברי. נסיבות אלה עשויות להביא למניעה של קיום הפגנות במועדים ובמקומות מסוימים, וזאת בהתאם למצבת כוח האדם של המשטרה במקומות אלה והיקף המשימות המוטלות עליה בהם. </w:t>
      </w:r>
    </w:p>
    <w:p w:rsidR="001F0B27" w:rsidRDefault="001F0B27" w:rsidP="001F0B27">
      <w:pPr>
        <w:pStyle w:val="Ruller4"/>
        <w:rPr>
          <w:rtl/>
        </w:rPr>
      </w:pPr>
    </w:p>
    <w:p w:rsidR="001F0B27" w:rsidRDefault="001F0B27" w:rsidP="001F0B27">
      <w:pPr>
        <w:pStyle w:val="Ruller4"/>
        <w:rPr>
          <w:rtl/>
        </w:rPr>
      </w:pPr>
      <w:r>
        <w:rPr>
          <w:rtl/>
        </w:rPr>
        <w:tab/>
      </w:r>
      <w:r>
        <w:rPr>
          <w:rFonts w:hint="cs"/>
          <w:rtl/>
        </w:rPr>
        <w:t xml:space="preserve">ב"כ המשיבים הבהירו בתשובותיהם ובדיון, כי הסירוב לערוך את ההפגנות נושא העתירה הוא סירוב </w:t>
      </w:r>
      <w:r w:rsidRPr="00E039AE">
        <w:rPr>
          <w:rFonts w:ascii="Century" w:hAnsi="Century" w:cs="Miriam" w:hint="cs"/>
          <w:b/>
          <w:spacing w:val="0"/>
          <w:szCs w:val="24"/>
          <w:rtl/>
        </w:rPr>
        <w:t>קונקרטי</w:t>
      </w:r>
      <w:r>
        <w:rPr>
          <w:rFonts w:hint="cs"/>
          <w:rtl/>
        </w:rPr>
        <w:t xml:space="preserve">, הנוגע למועד ולמקום אליהן התייחסה העתירה </w:t>
      </w:r>
      <w:r>
        <w:rPr>
          <w:rtl/>
        </w:rPr>
        <w:t>–</w:t>
      </w:r>
      <w:r>
        <w:rPr>
          <w:rFonts w:hint="cs"/>
          <w:rtl/>
        </w:rPr>
        <w:t xml:space="preserve"> הפגנות שאמורות היו להיערך ביום 7.11.2023 בערים אום אלפאחם וסכנין שבמחוזות החוף והצפון של המשטרה. המשטרה הבהירה כי במועד הנוכחי, ולאור כוח האדם שהיא מעריכה שיהיה עליה להקצות לצורך שמירת הסדר הציבורי בהפגנות אלה מחד גיסא; ולאור יתר המשימות הבוערות המוטלות לפתחה כעת במחוזות אלה מאידך גיסא </w:t>
      </w:r>
      <w:r>
        <w:rPr>
          <w:rtl/>
        </w:rPr>
        <w:t>–</w:t>
      </w:r>
      <w:r>
        <w:rPr>
          <w:rFonts w:hint="cs"/>
          <w:rtl/>
        </w:rPr>
        <w:t xml:space="preserve"> אין לה די כוח אדם כדי להיערך לשמירת הסדר בהפגנות אלה לעת הזו. </w:t>
      </w:r>
    </w:p>
    <w:p w:rsidR="001F0B27" w:rsidRDefault="001F0B27" w:rsidP="001F0B27">
      <w:pPr>
        <w:pStyle w:val="Ruller4"/>
        <w:rPr>
          <w:rtl/>
        </w:rPr>
      </w:pPr>
    </w:p>
    <w:p w:rsidR="001F0B27" w:rsidRDefault="001F0B27" w:rsidP="001F0B27">
      <w:pPr>
        <w:pStyle w:val="Ruller4"/>
        <w:rPr>
          <w:rtl/>
        </w:rPr>
      </w:pPr>
      <w:r>
        <w:rPr>
          <w:rtl/>
        </w:rPr>
        <w:lastRenderedPageBreak/>
        <w:tab/>
      </w:r>
      <w:r>
        <w:rPr>
          <w:rFonts w:hint="cs"/>
          <w:rtl/>
        </w:rPr>
        <w:t xml:space="preserve">סירוב המשטרה לבקשות אלה </w:t>
      </w:r>
      <w:r>
        <w:rPr>
          <w:rtl/>
        </w:rPr>
        <w:t>–</w:t>
      </w:r>
      <w:r>
        <w:rPr>
          <w:rFonts w:hint="cs"/>
          <w:rtl/>
        </w:rPr>
        <w:t xml:space="preserve"> בהינתן המועד והמקום המבוקשים, הוא אפוא סירוב שאין מקום להתערב בו, והוא עולה בקנה אחד הן עם ההלכה הפסוקה והן עם הנחיות היועץ המשפטי לממשלה. יודגש כי סירוב זה אינו משליך על בקשות עתידיות אפשריות </w:t>
      </w:r>
      <w:r>
        <w:rPr>
          <w:rtl/>
        </w:rPr>
        <w:t>–</w:t>
      </w:r>
      <w:r>
        <w:rPr>
          <w:rFonts w:hint="cs"/>
          <w:rtl/>
        </w:rPr>
        <w:t xml:space="preserve"> שיתייחסו למועד אחר; מקום אחר; או אופן אחר של קיום המחאה (למשל </w:t>
      </w:r>
      <w:r>
        <w:rPr>
          <w:rtl/>
        </w:rPr>
        <w:t>–</w:t>
      </w:r>
      <w:r>
        <w:rPr>
          <w:rFonts w:hint="cs"/>
          <w:rtl/>
        </w:rPr>
        <w:t xml:space="preserve"> במקום סגור וכיו"ב). כך עולה גם מסעיף ח' להנחיית היועץ המשפטי לממשלה שנזכר לעיל, ביחס להשלכה של העדר אפשרות של המשטרה להקצות די שוטרים לצורך הבטחת הסדר הציבורי בהפגנה. חזקה על המשיבים כי יבחנו כל בקשה עתידית לגופה, תוך שיביאו בחשבון את מכלול הנסיבות הקונקרטיות כמו גם את חשיבותה הרבה של זכות היסוד להפגין </w:t>
      </w:r>
      <w:r>
        <w:rPr>
          <w:rtl/>
        </w:rPr>
        <w:t>–</w:t>
      </w:r>
      <w:r>
        <w:rPr>
          <w:rFonts w:hint="cs"/>
          <w:rtl/>
        </w:rPr>
        <w:t xml:space="preserve"> תמיד, וכך אף אולי ביתר שאת בימי מלחמה. </w:t>
      </w:r>
    </w:p>
    <w:p w:rsidR="001F0B27" w:rsidRDefault="001F0B27" w:rsidP="001F0B27">
      <w:pPr>
        <w:pStyle w:val="Ruller4"/>
        <w:rPr>
          <w:rtl/>
        </w:rPr>
      </w:pPr>
    </w:p>
    <w:p w:rsidR="001F0B27" w:rsidRDefault="001F0B27" w:rsidP="001F0B27">
      <w:pPr>
        <w:pStyle w:val="Ruller4"/>
        <w:rPr>
          <w:rtl/>
        </w:rPr>
      </w:pPr>
      <w:r>
        <w:rPr>
          <w:rtl/>
        </w:rPr>
        <w:tab/>
      </w:r>
      <w:r>
        <w:rPr>
          <w:rFonts w:hint="cs"/>
          <w:rtl/>
        </w:rPr>
        <w:t xml:space="preserve">לאור כל האמור לעיל, אני מסכימה עם חבריי כי דין העתירה להידחות.  </w:t>
      </w:r>
    </w:p>
    <w:p w:rsidR="001F0B27" w:rsidRDefault="001F0B27" w:rsidP="001F0B27">
      <w:pPr>
        <w:pStyle w:val="Ruller4"/>
        <w:rPr>
          <w:rtl/>
        </w:rPr>
      </w:pPr>
    </w:p>
    <w:p w:rsidR="001F0B27" w:rsidRDefault="001F0B27" w:rsidP="001F0B27">
      <w:pPr>
        <w:pStyle w:val="Ruller4"/>
        <w:rPr>
          <w:rtl/>
        </w:rPr>
      </w:pPr>
    </w:p>
    <w:p w:rsidR="001F0B27" w:rsidRPr="001F0B27" w:rsidRDefault="001F0B27" w:rsidP="001F0B27">
      <w:pPr>
        <w:pStyle w:val="Ruller4"/>
        <w:rPr>
          <w:rFonts w:ascii="Century" w:hAnsi="Century"/>
          <w:rtl/>
        </w:rPr>
      </w:pPr>
      <w:r>
        <w:rPr>
          <w:rtl/>
        </w:rPr>
        <w:tab/>
      </w:r>
      <w:r>
        <w:rPr>
          <w:rtl/>
        </w:rPr>
        <w:tab/>
      </w:r>
      <w:r>
        <w:rPr>
          <w:rtl/>
        </w:rPr>
        <w:tab/>
      </w:r>
      <w:r>
        <w:rPr>
          <w:rtl/>
        </w:rPr>
        <w:tab/>
      </w:r>
      <w:r>
        <w:rPr>
          <w:rtl/>
        </w:rPr>
        <w:tab/>
      </w:r>
      <w:r>
        <w:rPr>
          <w:rtl/>
        </w:rPr>
        <w:tab/>
      </w:r>
      <w:r>
        <w:rPr>
          <w:rtl/>
        </w:rPr>
        <w:tab/>
      </w:r>
      <w:r>
        <w:rPr>
          <w:rtl/>
        </w:rPr>
        <w:tab/>
      </w:r>
      <w:r>
        <w:rPr>
          <w:rtl/>
        </w:rPr>
        <w:tab/>
      </w:r>
      <w:r w:rsidRPr="001F0B27">
        <w:rPr>
          <w:rFonts w:ascii="Century" w:hAnsi="Century" w:hint="cs"/>
          <w:rtl/>
        </w:rPr>
        <w:t xml:space="preserve">ש ו פ ט </w:t>
      </w:r>
      <w:r>
        <w:rPr>
          <w:rFonts w:ascii="Century" w:hAnsi="Century" w:hint="cs"/>
          <w:rtl/>
        </w:rPr>
        <w:t>ת</w:t>
      </w:r>
    </w:p>
    <w:p w:rsidR="001F0B27" w:rsidRDefault="001F0B27" w:rsidP="001F0B27">
      <w:pPr>
        <w:pStyle w:val="Ruller4"/>
        <w:rPr>
          <w:rtl/>
        </w:rPr>
      </w:pPr>
    </w:p>
    <w:p w:rsidR="001F0B27" w:rsidRDefault="001F0B27" w:rsidP="001F0B27">
      <w:pPr>
        <w:pStyle w:val="Ruller4"/>
        <w:rPr>
          <w:rFonts w:ascii="Century" w:hAnsi="Century"/>
          <w:rtl/>
        </w:rPr>
      </w:pPr>
      <w:r w:rsidRPr="001F0B27">
        <w:rPr>
          <w:rFonts w:ascii="Century" w:hAnsi="Century" w:cs="Miriam" w:hint="cs"/>
          <w:b/>
          <w:spacing w:val="0"/>
          <w:szCs w:val="24"/>
          <w:u w:val="single"/>
          <w:rtl/>
        </w:rPr>
        <w:t>השופטת י' וילנר</w:t>
      </w:r>
      <w:r w:rsidRPr="001F0B27">
        <w:rPr>
          <w:rFonts w:ascii="Century" w:hAnsi="Century" w:cs="Miriam" w:hint="cs"/>
          <w:b/>
          <w:spacing w:val="0"/>
          <w:szCs w:val="24"/>
          <w:rtl/>
        </w:rPr>
        <w:t>:</w:t>
      </w:r>
    </w:p>
    <w:p w:rsidR="001F0B27" w:rsidRDefault="001F0B27" w:rsidP="001F0B27">
      <w:pPr>
        <w:pStyle w:val="Ruller4"/>
        <w:rPr>
          <w:rFonts w:ascii="Century" w:hAnsi="Century"/>
          <w:rtl/>
        </w:rPr>
      </w:pPr>
    </w:p>
    <w:p w:rsidR="001F0B27" w:rsidRDefault="001F0B27" w:rsidP="001F0B27">
      <w:pPr>
        <w:pStyle w:val="Ruller4"/>
        <w:rPr>
          <w:rtl/>
        </w:rPr>
      </w:pPr>
      <w:r>
        <w:rPr>
          <w:rFonts w:ascii="Century" w:hAnsi="Century"/>
          <w:rtl/>
        </w:rPr>
        <w:tab/>
      </w:r>
      <w:r>
        <w:rPr>
          <w:rFonts w:hint="cs"/>
          <w:rtl/>
        </w:rPr>
        <w:t>אני מסכימה עם פסק דינו של חברי, השופט</w:t>
      </w:r>
      <w:r w:rsidRPr="00E56A64">
        <w:rPr>
          <w:rFonts w:ascii="Century" w:hAnsi="Century" w:cs="Miriam" w:hint="cs"/>
          <w:b/>
          <w:spacing w:val="0"/>
          <w:szCs w:val="24"/>
          <w:rtl/>
        </w:rPr>
        <w:t xml:space="preserve"> י' עמית</w:t>
      </w:r>
      <w:r>
        <w:rPr>
          <w:rFonts w:hint="cs"/>
          <w:rtl/>
        </w:rPr>
        <w:t xml:space="preserve">. </w:t>
      </w:r>
    </w:p>
    <w:p w:rsidR="001F0B27" w:rsidRDefault="001F0B27" w:rsidP="001F0B27">
      <w:pPr>
        <w:pStyle w:val="Ruller4"/>
        <w:rPr>
          <w:rFonts w:ascii="Century" w:hAnsi="Century"/>
          <w:rtl/>
        </w:rPr>
      </w:pPr>
    </w:p>
    <w:p w:rsidR="001F0B27" w:rsidRDefault="001F0B27" w:rsidP="001F0B27">
      <w:pPr>
        <w:pStyle w:val="Ruller4"/>
        <w:rPr>
          <w:rFonts w:ascii="FrankRuehl" w:hAnsi="FrankRuehl"/>
          <w:color w:val="000000"/>
          <w:shd w:val="clear" w:color="auto" w:fill="FFFFFF"/>
          <w:rtl/>
        </w:rPr>
      </w:pPr>
      <w:r>
        <w:rPr>
          <w:rFonts w:ascii="Century" w:hAnsi="Century"/>
          <w:rtl/>
        </w:rPr>
        <w:tab/>
      </w:r>
      <w:r>
        <w:rPr>
          <w:rFonts w:ascii="Century" w:hAnsi="Century" w:hint="cs"/>
          <w:rtl/>
        </w:rPr>
        <w:t>כידוע, הזכות להפגנה ואסיפה "</w:t>
      </w:r>
      <w:r>
        <w:rPr>
          <w:rFonts w:ascii="FrankRuehl" w:hAnsi="FrankRuehl"/>
          <w:color w:val="000000"/>
          <w:shd w:val="clear" w:color="auto" w:fill="FFFFFF"/>
          <w:rtl/>
        </w:rPr>
        <w:t>מוכרת, בצד חופש הביטוי או מכוחו, כשייכת לאותן חירויות המעצבות את אופיו של המשטר בישראל כמשטר דמוקרטי</w:t>
      </w:r>
      <w:r>
        <w:rPr>
          <w:rFonts w:ascii="FrankRuehl" w:hAnsi="FrankRuehl" w:hint="cs"/>
          <w:color w:val="000000"/>
          <w:shd w:val="clear" w:color="auto" w:fill="FFFFFF"/>
          <w:rtl/>
        </w:rPr>
        <w:t>" (</w:t>
      </w:r>
      <w:r w:rsidRPr="00AE46C1">
        <w:rPr>
          <w:rFonts w:ascii="FrankRuehl" w:hAnsi="FrankRuehl" w:hint="eastAsia"/>
          <w:color w:val="000000"/>
          <w:shd w:val="clear" w:color="auto" w:fill="FFFFFF"/>
          <w:rtl/>
        </w:rPr>
        <w:t>בג</w:t>
      </w:r>
      <w:r w:rsidRPr="00AE46C1">
        <w:rPr>
          <w:rFonts w:ascii="FrankRuehl" w:hAnsi="FrankRuehl"/>
          <w:color w:val="000000"/>
          <w:shd w:val="clear" w:color="auto" w:fill="FFFFFF"/>
          <w:rtl/>
        </w:rPr>
        <w:t>"</w:t>
      </w:r>
      <w:r w:rsidRPr="00AE46C1">
        <w:rPr>
          <w:rFonts w:ascii="FrankRuehl" w:hAnsi="FrankRuehl" w:hint="eastAsia"/>
          <w:color w:val="000000"/>
          <w:shd w:val="clear" w:color="auto" w:fill="FFFFFF"/>
          <w:rtl/>
        </w:rPr>
        <w:t>ץ</w:t>
      </w:r>
      <w:r w:rsidRPr="00AE46C1">
        <w:rPr>
          <w:rFonts w:ascii="FrankRuehl" w:hAnsi="FrankRuehl"/>
          <w:color w:val="000000"/>
          <w:shd w:val="clear" w:color="auto" w:fill="FFFFFF"/>
          <w:rtl/>
        </w:rPr>
        <w:t xml:space="preserve"> 153/83 </w:t>
      </w:r>
      <w:r w:rsidRPr="00AC3BBC">
        <w:rPr>
          <w:rFonts w:ascii="Century" w:hAnsi="Century" w:cs="Miriam" w:hint="eastAsia"/>
          <w:b/>
          <w:spacing w:val="0"/>
          <w:szCs w:val="24"/>
          <w:shd w:val="clear" w:color="auto" w:fill="FFFFFF"/>
          <w:rtl/>
        </w:rPr>
        <w:t>לוי</w:t>
      </w:r>
      <w:r w:rsidRPr="00AC3BBC">
        <w:rPr>
          <w:rFonts w:ascii="Century" w:hAnsi="Century" w:cs="Miriam"/>
          <w:b/>
          <w:spacing w:val="0"/>
          <w:szCs w:val="24"/>
          <w:shd w:val="clear" w:color="auto" w:fill="FFFFFF"/>
          <w:rtl/>
        </w:rPr>
        <w:t xml:space="preserve"> </w:t>
      </w:r>
      <w:r w:rsidRPr="00AC3BBC">
        <w:rPr>
          <w:rFonts w:ascii="Century" w:hAnsi="Century" w:cs="Miriam" w:hint="eastAsia"/>
          <w:b/>
          <w:spacing w:val="0"/>
          <w:szCs w:val="24"/>
          <w:shd w:val="clear" w:color="auto" w:fill="FFFFFF"/>
          <w:rtl/>
        </w:rPr>
        <w:t>נ</w:t>
      </w:r>
      <w:r w:rsidRPr="00AC3BBC">
        <w:rPr>
          <w:rFonts w:ascii="Century" w:hAnsi="Century" w:cs="Miriam"/>
          <w:b/>
          <w:spacing w:val="0"/>
          <w:szCs w:val="24"/>
          <w:shd w:val="clear" w:color="auto" w:fill="FFFFFF"/>
          <w:rtl/>
        </w:rPr>
        <w:t xml:space="preserve">' </w:t>
      </w:r>
      <w:r w:rsidRPr="00AC3BBC">
        <w:rPr>
          <w:rFonts w:ascii="Century" w:hAnsi="Century" w:cs="Miriam" w:hint="eastAsia"/>
          <w:b/>
          <w:spacing w:val="0"/>
          <w:szCs w:val="24"/>
          <w:shd w:val="clear" w:color="auto" w:fill="FFFFFF"/>
          <w:rtl/>
        </w:rPr>
        <w:t>מפקד</w:t>
      </w:r>
      <w:r w:rsidRPr="00AC3BBC">
        <w:rPr>
          <w:rFonts w:ascii="Century" w:hAnsi="Century" w:cs="Miriam"/>
          <w:b/>
          <w:spacing w:val="0"/>
          <w:szCs w:val="24"/>
          <w:shd w:val="clear" w:color="auto" w:fill="FFFFFF"/>
          <w:rtl/>
        </w:rPr>
        <w:t xml:space="preserve"> </w:t>
      </w:r>
      <w:r w:rsidRPr="00AC3BBC">
        <w:rPr>
          <w:rFonts w:ascii="Century" w:hAnsi="Century" w:cs="Miriam" w:hint="eastAsia"/>
          <w:b/>
          <w:spacing w:val="0"/>
          <w:szCs w:val="24"/>
          <w:shd w:val="clear" w:color="auto" w:fill="FFFFFF"/>
          <w:rtl/>
        </w:rPr>
        <w:t>המחוז</w:t>
      </w:r>
      <w:r w:rsidRPr="00AC3BBC">
        <w:rPr>
          <w:rFonts w:ascii="Century" w:hAnsi="Century" w:cs="Miriam"/>
          <w:b/>
          <w:spacing w:val="0"/>
          <w:szCs w:val="24"/>
          <w:shd w:val="clear" w:color="auto" w:fill="FFFFFF"/>
          <w:rtl/>
        </w:rPr>
        <w:t xml:space="preserve"> </w:t>
      </w:r>
      <w:r w:rsidRPr="00AC3BBC">
        <w:rPr>
          <w:rFonts w:ascii="Century" w:hAnsi="Century" w:cs="Miriam" w:hint="eastAsia"/>
          <w:b/>
          <w:spacing w:val="0"/>
          <w:szCs w:val="24"/>
          <w:shd w:val="clear" w:color="auto" w:fill="FFFFFF"/>
          <w:rtl/>
        </w:rPr>
        <w:t>הדרומי</w:t>
      </w:r>
      <w:r w:rsidRPr="00AC3BBC">
        <w:rPr>
          <w:rFonts w:ascii="Century" w:hAnsi="Century" w:cs="Miriam"/>
          <w:b/>
          <w:spacing w:val="0"/>
          <w:szCs w:val="24"/>
          <w:shd w:val="clear" w:color="auto" w:fill="FFFFFF"/>
          <w:rtl/>
        </w:rPr>
        <w:t xml:space="preserve"> </w:t>
      </w:r>
      <w:r w:rsidRPr="00AC3BBC">
        <w:rPr>
          <w:rFonts w:ascii="Century" w:hAnsi="Century" w:cs="Miriam" w:hint="eastAsia"/>
          <w:b/>
          <w:spacing w:val="0"/>
          <w:szCs w:val="24"/>
          <w:shd w:val="clear" w:color="auto" w:fill="FFFFFF"/>
          <w:rtl/>
        </w:rPr>
        <w:t>של</w:t>
      </w:r>
      <w:r w:rsidRPr="00AC3BBC">
        <w:rPr>
          <w:rFonts w:ascii="Century" w:hAnsi="Century" w:cs="Miriam"/>
          <w:b/>
          <w:spacing w:val="0"/>
          <w:szCs w:val="24"/>
          <w:shd w:val="clear" w:color="auto" w:fill="FFFFFF"/>
          <w:rtl/>
        </w:rPr>
        <w:t xml:space="preserve"> </w:t>
      </w:r>
      <w:r w:rsidRPr="00AC3BBC">
        <w:rPr>
          <w:rFonts w:ascii="Century" w:hAnsi="Century" w:cs="Miriam" w:hint="eastAsia"/>
          <w:b/>
          <w:spacing w:val="0"/>
          <w:szCs w:val="24"/>
          <w:shd w:val="clear" w:color="auto" w:fill="FFFFFF"/>
          <w:rtl/>
        </w:rPr>
        <w:t>משטרת</w:t>
      </w:r>
      <w:r w:rsidRPr="00AC3BBC">
        <w:rPr>
          <w:rFonts w:ascii="Century" w:hAnsi="Century" w:cs="Miriam"/>
          <w:b/>
          <w:spacing w:val="0"/>
          <w:szCs w:val="24"/>
          <w:shd w:val="clear" w:color="auto" w:fill="FFFFFF"/>
          <w:rtl/>
        </w:rPr>
        <w:t xml:space="preserve"> </w:t>
      </w:r>
      <w:r w:rsidRPr="00AC3BBC">
        <w:rPr>
          <w:rFonts w:ascii="Century" w:hAnsi="Century" w:cs="Miriam" w:hint="eastAsia"/>
          <w:b/>
          <w:spacing w:val="0"/>
          <w:szCs w:val="24"/>
          <w:shd w:val="clear" w:color="auto" w:fill="FFFFFF"/>
          <w:rtl/>
        </w:rPr>
        <w:t>ישראל</w:t>
      </w:r>
      <w:r w:rsidRPr="00AE46C1">
        <w:rPr>
          <w:rFonts w:ascii="FrankRuehl" w:hAnsi="FrankRuehl"/>
          <w:color w:val="000000"/>
          <w:shd w:val="clear" w:color="auto" w:fill="FFFFFF"/>
          <w:rtl/>
        </w:rPr>
        <w:t xml:space="preserve">, </w:t>
      </w:r>
      <w:r w:rsidRPr="00AE46C1">
        <w:rPr>
          <w:rFonts w:ascii="FrankRuehl" w:hAnsi="FrankRuehl" w:hint="eastAsia"/>
          <w:color w:val="000000"/>
          <w:shd w:val="clear" w:color="auto" w:fill="FFFFFF"/>
          <w:rtl/>
        </w:rPr>
        <w:t>לח</w:t>
      </w:r>
      <w:r>
        <w:rPr>
          <w:rFonts w:ascii="FrankRuehl" w:hAnsi="FrankRuehl"/>
          <w:color w:val="000000"/>
          <w:shd w:val="clear" w:color="auto" w:fill="FFFFFF"/>
          <w:rtl/>
        </w:rPr>
        <w:t>(2) 393</w:t>
      </w:r>
      <w:r>
        <w:rPr>
          <w:rFonts w:ascii="FrankRuehl" w:hAnsi="FrankRuehl" w:hint="cs"/>
          <w:color w:val="000000"/>
          <w:shd w:val="clear" w:color="auto" w:fill="FFFFFF"/>
          <w:rtl/>
        </w:rPr>
        <w:t xml:space="preserve">, עמ' 398 לפסק דינו של השופט </w:t>
      </w:r>
      <w:r>
        <w:rPr>
          <w:rFonts w:ascii="Century" w:hAnsi="Century" w:cs="Miriam" w:hint="cs"/>
          <w:b/>
          <w:spacing w:val="0"/>
          <w:szCs w:val="24"/>
          <w:shd w:val="clear" w:color="auto" w:fill="FFFFFF"/>
          <w:rtl/>
        </w:rPr>
        <w:t xml:space="preserve">א' ברק </w:t>
      </w:r>
      <w:r w:rsidRPr="00AE46C1">
        <w:rPr>
          <w:rFonts w:ascii="FrankRuehl" w:hAnsi="FrankRuehl"/>
          <w:color w:val="000000"/>
          <w:shd w:val="clear" w:color="auto" w:fill="FFFFFF"/>
          <w:rtl/>
        </w:rPr>
        <w:t>(1984)</w:t>
      </w:r>
      <w:r>
        <w:rPr>
          <w:rFonts w:ascii="FrankRuehl" w:hAnsi="FrankRuehl" w:hint="cs"/>
          <w:color w:val="000000"/>
          <w:shd w:val="clear" w:color="auto" w:fill="FFFFFF"/>
          <w:rtl/>
        </w:rPr>
        <w:t xml:space="preserve">); ומהווה נדבך משמעותי מזכויות היסוד החוקתיות בישראל (ראו: </w:t>
      </w:r>
      <w:r w:rsidRPr="00F61E02">
        <w:rPr>
          <w:rFonts w:ascii="FrankRuehl" w:hAnsi="FrankRuehl" w:hint="eastAsia"/>
          <w:color w:val="000000"/>
          <w:shd w:val="clear" w:color="auto" w:fill="FFFFFF"/>
          <w:rtl/>
        </w:rPr>
        <w:t>בג</w:t>
      </w:r>
      <w:r w:rsidRPr="00F61E02">
        <w:rPr>
          <w:rFonts w:ascii="FrankRuehl" w:hAnsi="FrankRuehl"/>
          <w:color w:val="000000"/>
          <w:shd w:val="clear" w:color="auto" w:fill="FFFFFF"/>
          <w:rtl/>
        </w:rPr>
        <w:t>"</w:t>
      </w:r>
      <w:r w:rsidRPr="00F61E02">
        <w:rPr>
          <w:rFonts w:ascii="FrankRuehl" w:hAnsi="FrankRuehl" w:hint="eastAsia"/>
          <w:color w:val="000000"/>
          <w:shd w:val="clear" w:color="auto" w:fill="FFFFFF"/>
          <w:rtl/>
        </w:rPr>
        <w:t>ץ</w:t>
      </w:r>
      <w:r w:rsidRPr="00F61E02">
        <w:rPr>
          <w:rFonts w:ascii="FrankRuehl" w:hAnsi="FrankRuehl"/>
          <w:color w:val="000000"/>
          <w:shd w:val="clear" w:color="auto" w:fill="FFFFFF"/>
          <w:rtl/>
        </w:rPr>
        <w:t xml:space="preserve"> 4712/96 </w:t>
      </w:r>
      <w:r w:rsidRPr="00F61E02">
        <w:rPr>
          <w:rFonts w:ascii="Century" w:hAnsi="Century" w:cs="Miriam" w:hint="eastAsia"/>
          <w:b/>
          <w:spacing w:val="0"/>
          <w:szCs w:val="24"/>
          <w:shd w:val="clear" w:color="auto" w:fill="FFFFFF"/>
          <w:rtl/>
        </w:rPr>
        <w:t>סיעת</w:t>
      </w:r>
      <w:r w:rsidRPr="00F61E02">
        <w:rPr>
          <w:rFonts w:ascii="Century" w:hAnsi="Century" w:cs="Miriam"/>
          <w:b/>
          <w:spacing w:val="0"/>
          <w:szCs w:val="24"/>
          <w:shd w:val="clear" w:color="auto" w:fill="FFFFFF"/>
          <w:rtl/>
        </w:rPr>
        <w:t xml:space="preserve"> </w:t>
      </w:r>
      <w:r w:rsidRPr="00F61E02">
        <w:rPr>
          <w:rFonts w:ascii="Century" w:hAnsi="Century" w:cs="Miriam" w:hint="eastAsia"/>
          <w:b/>
          <w:spacing w:val="0"/>
          <w:szCs w:val="24"/>
          <w:shd w:val="clear" w:color="auto" w:fill="FFFFFF"/>
          <w:rtl/>
        </w:rPr>
        <w:t>מרצ</w:t>
      </w:r>
      <w:r w:rsidRPr="00F61E02">
        <w:rPr>
          <w:rFonts w:ascii="Century" w:hAnsi="Century" w:cs="Miriam"/>
          <w:b/>
          <w:spacing w:val="0"/>
          <w:szCs w:val="24"/>
          <w:shd w:val="clear" w:color="auto" w:fill="FFFFFF"/>
          <w:rtl/>
        </w:rPr>
        <w:t xml:space="preserve"> </w:t>
      </w:r>
      <w:r w:rsidRPr="00F61E02">
        <w:rPr>
          <w:rFonts w:ascii="Century" w:hAnsi="Century" w:cs="Miriam" w:hint="eastAsia"/>
          <w:b/>
          <w:spacing w:val="0"/>
          <w:szCs w:val="24"/>
          <w:shd w:val="clear" w:color="auto" w:fill="FFFFFF"/>
          <w:rtl/>
        </w:rPr>
        <w:t>נ</w:t>
      </w:r>
      <w:r w:rsidRPr="00F61E02">
        <w:rPr>
          <w:rFonts w:ascii="Century" w:hAnsi="Century" w:cs="Miriam"/>
          <w:b/>
          <w:spacing w:val="0"/>
          <w:szCs w:val="24"/>
          <w:shd w:val="clear" w:color="auto" w:fill="FFFFFF"/>
          <w:rtl/>
        </w:rPr>
        <w:t xml:space="preserve">' </w:t>
      </w:r>
      <w:r w:rsidRPr="00F61E02">
        <w:rPr>
          <w:rFonts w:ascii="Century" w:hAnsi="Century" w:cs="Miriam" w:hint="eastAsia"/>
          <w:b/>
          <w:spacing w:val="0"/>
          <w:szCs w:val="24"/>
          <w:shd w:val="clear" w:color="auto" w:fill="FFFFFF"/>
          <w:rtl/>
        </w:rPr>
        <w:t>מפקד</w:t>
      </w:r>
      <w:r w:rsidRPr="00F61E02">
        <w:rPr>
          <w:rFonts w:ascii="Century" w:hAnsi="Century" w:cs="Miriam"/>
          <w:b/>
          <w:spacing w:val="0"/>
          <w:szCs w:val="24"/>
          <w:shd w:val="clear" w:color="auto" w:fill="FFFFFF"/>
          <w:rtl/>
        </w:rPr>
        <w:t xml:space="preserve"> </w:t>
      </w:r>
      <w:r w:rsidRPr="00F61E02">
        <w:rPr>
          <w:rFonts w:ascii="Century" w:hAnsi="Century" w:cs="Miriam" w:hint="eastAsia"/>
          <w:b/>
          <w:spacing w:val="0"/>
          <w:szCs w:val="24"/>
          <w:shd w:val="clear" w:color="auto" w:fill="FFFFFF"/>
          <w:rtl/>
        </w:rPr>
        <w:t>מחוז</w:t>
      </w:r>
      <w:r w:rsidRPr="00F61E02">
        <w:rPr>
          <w:rFonts w:ascii="Century" w:hAnsi="Century" w:cs="Miriam"/>
          <w:b/>
          <w:spacing w:val="0"/>
          <w:szCs w:val="24"/>
          <w:shd w:val="clear" w:color="auto" w:fill="FFFFFF"/>
          <w:rtl/>
        </w:rPr>
        <w:t xml:space="preserve"> </w:t>
      </w:r>
      <w:r w:rsidRPr="00F61E02">
        <w:rPr>
          <w:rFonts w:ascii="Century" w:hAnsi="Century" w:cs="Miriam" w:hint="eastAsia"/>
          <w:b/>
          <w:spacing w:val="0"/>
          <w:szCs w:val="24"/>
          <w:shd w:val="clear" w:color="auto" w:fill="FFFFFF"/>
          <w:rtl/>
        </w:rPr>
        <w:t>ירושלים</w:t>
      </w:r>
      <w:r w:rsidRPr="00F61E02">
        <w:rPr>
          <w:rFonts w:ascii="Century" w:hAnsi="Century" w:cs="Miriam"/>
          <w:b/>
          <w:spacing w:val="0"/>
          <w:szCs w:val="24"/>
          <w:shd w:val="clear" w:color="auto" w:fill="FFFFFF"/>
          <w:rtl/>
        </w:rPr>
        <w:t xml:space="preserve">, </w:t>
      </w:r>
      <w:r w:rsidRPr="00F61E02">
        <w:rPr>
          <w:rFonts w:ascii="Century" w:hAnsi="Century" w:cs="Miriam" w:hint="eastAsia"/>
          <w:b/>
          <w:spacing w:val="0"/>
          <w:szCs w:val="24"/>
          <w:shd w:val="clear" w:color="auto" w:fill="FFFFFF"/>
          <w:rtl/>
        </w:rPr>
        <w:t>משטרת</w:t>
      </w:r>
      <w:r w:rsidRPr="00F61E02">
        <w:rPr>
          <w:rFonts w:ascii="Century" w:hAnsi="Century" w:cs="Miriam"/>
          <w:b/>
          <w:spacing w:val="0"/>
          <w:szCs w:val="24"/>
          <w:shd w:val="clear" w:color="auto" w:fill="FFFFFF"/>
          <w:rtl/>
        </w:rPr>
        <w:t xml:space="preserve"> </w:t>
      </w:r>
      <w:r w:rsidRPr="00F61E02">
        <w:rPr>
          <w:rFonts w:ascii="Century" w:hAnsi="Century" w:cs="Miriam" w:hint="eastAsia"/>
          <w:b/>
          <w:spacing w:val="0"/>
          <w:szCs w:val="24"/>
          <w:shd w:val="clear" w:color="auto" w:fill="FFFFFF"/>
          <w:rtl/>
        </w:rPr>
        <w:t>ישראל</w:t>
      </w:r>
      <w:r w:rsidRPr="00F61E02">
        <w:rPr>
          <w:rFonts w:ascii="FrankRuehl" w:hAnsi="FrankRuehl"/>
          <w:color w:val="000000"/>
          <w:shd w:val="clear" w:color="auto" w:fill="FFFFFF"/>
          <w:rtl/>
        </w:rPr>
        <w:t xml:space="preserve">, </w:t>
      </w:r>
      <w:r w:rsidRPr="00F61E02">
        <w:rPr>
          <w:rFonts w:ascii="FrankRuehl" w:hAnsi="FrankRuehl" w:hint="eastAsia"/>
          <w:color w:val="000000"/>
          <w:shd w:val="clear" w:color="auto" w:fill="FFFFFF"/>
          <w:rtl/>
        </w:rPr>
        <w:t>נ</w:t>
      </w:r>
      <w:r w:rsidRPr="00F61E02">
        <w:rPr>
          <w:rFonts w:ascii="FrankRuehl" w:hAnsi="FrankRuehl"/>
          <w:color w:val="000000"/>
          <w:shd w:val="clear" w:color="auto" w:fill="FFFFFF"/>
          <w:rtl/>
        </w:rPr>
        <w:t xml:space="preserve">(2) 822, </w:t>
      </w:r>
      <w:r w:rsidRPr="00F61E02">
        <w:rPr>
          <w:rFonts w:ascii="FrankRuehl" w:hAnsi="FrankRuehl" w:hint="eastAsia"/>
          <w:color w:val="000000"/>
          <w:shd w:val="clear" w:color="auto" w:fill="FFFFFF"/>
          <w:rtl/>
        </w:rPr>
        <w:t>עמ</w:t>
      </w:r>
      <w:r w:rsidRPr="00F61E02">
        <w:rPr>
          <w:rFonts w:ascii="FrankRuehl" w:hAnsi="FrankRuehl"/>
          <w:color w:val="000000"/>
          <w:shd w:val="clear" w:color="auto" w:fill="FFFFFF"/>
          <w:rtl/>
        </w:rPr>
        <w:t xml:space="preserve">' 826, 832-831 </w:t>
      </w:r>
      <w:r w:rsidRPr="00F61E02">
        <w:rPr>
          <w:rFonts w:ascii="FrankRuehl" w:hAnsi="FrankRuehl" w:hint="eastAsia"/>
          <w:color w:val="000000"/>
          <w:shd w:val="clear" w:color="auto" w:fill="FFFFFF"/>
          <w:rtl/>
        </w:rPr>
        <w:t>לפסק</w:t>
      </w:r>
      <w:r w:rsidRPr="00F61E02">
        <w:rPr>
          <w:rFonts w:ascii="FrankRuehl" w:hAnsi="FrankRuehl"/>
          <w:color w:val="000000"/>
          <w:shd w:val="clear" w:color="auto" w:fill="FFFFFF"/>
          <w:rtl/>
        </w:rPr>
        <w:t xml:space="preserve"> </w:t>
      </w:r>
      <w:r w:rsidRPr="00F61E02">
        <w:rPr>
          <w:rFonts w:ascii="FrankRuehl" w:hAnsi="FrankRuehl" w:hint="eastAsia"/>
          <w:color w:val="000000"/>
          <w:shd w:val="clear" w:color="auto" w:fill="FFFFFF"/>
          <w:rtl/>
        </w:rPr>
        <w:t>דינו</w:t>
      </w:r>
      <w:r w:rsidRPr="00F61E02">
        <w:rPr>
          <w:rFonts w:ascii="FrankRuehl" w:hAnsi="FrankRuehl"/>
          <w:color w:val="000000"/>
          <w:shd w:val="clear" w:color="auto" w:fill="FFFFFF"/>
          <w:rtl/>
        </w:rPr>
        <w:t xml:space="preserve"> </w:t>
      </w:r>
      <w:r w:rsidRPr="00F61E02">
        <w:rPr>
          <w:rFonts w:ascii="FrankRuehl" w:hAnsi="FrankRuehl" w:hint="eastAsia"/>
          <w:color w:val="000000"/>
          <w:shd w:val="clear" w:color="auto" w:fill="FFFFFF"/>
          <w:rtl/>
        </w:rPr>
        <w:t>של</w:t>
      </w:r>
      <w:r w:rsidRPr="00F61E02">
        <w:rPr>
          <w:rFonts w:ascii="FrankRuehl" w:hAnsi="FrankRuehl"/>
          <w:color w:val="000000"/>
          <w:shd w:val="clear" w:color="auto" w:fill="FFFFFF"/>
          <w:rtl/>
        </w:rPr>
        <w:t xml:space="preserve"> </w:t>
      </w:r>
      <w:r w:rsidRPr="00F61E02">
        <w:rPr>
          <w:rFonts w:ascii="FrankRuehl" w:hAnsi="FrankRuehl" w:hint="eastAsia"/>
          <w:color w:val="000000"/>
          <w:shd w:val="clear" w:color="auto" w:fill="FFFFFF"/>
          <w:rtl/>
        </w:rPr>
        <w:t>השופט</w:t>
      </w:r>
      <w:r w:rsidRPr="00F61E02">
        <w:rPr>
          <w:rFonts w:ascii="FrankRuehl" w:hAnsi="FrankRuehl"/>
          <w:color w:val="000000"/>
          <w:shd w:val="clear" w:color="auto" w:fill="FFFFFF"/>
          <w:rtl/>
        </w:rPr>
        <w:t xml:space="preserve"> </w:t>
      </w:r>
      <w:r w:rsidRPr="00F61E02">
        <w:rPr>
          <w:rFonts w:ascii="Century" w:hAnsi="Century" w:cs="Miriam" w:hint="eastAsia"/>
          <w:b/>
          <w:spacing w:val="0"/>
          <w:szCs w:val="24"/>
          <w:shd w:val="clear" w:color="auto" w:fill="FFFFFF"/>
          <w:rtl/>
        </w:rPr>
        <w:t>ת</w:t>
      </w:r>
      <w:r w:rsidRPr="00F61E02">
        <w:rPr>
          <w:rFonts w:ascii="Century" w:hAnsi="Century" w:cs="Miriam"/>
          <w:b/>
          <w:spacing w:val="0"/>
          <w:szCs w:val="24"/>
          <w:shd w:val="clear" w:color="auto" w:fill="FFFFFF"/>
          <w:rtl/>
        </w:rPr>
        <w:t xml:space="preserve">' </w:t>
      </w:r>
      <w:r w:rsidRPr="00F61E02">
        <w:rPr>
          <w:rFonts w:ascii="Century" w:hAnsi="Century" w:cs="Miriam" w:hint="eastAsia"/>
          <w:b/>
          <w:spacing w:val="0"/>
          <w:szCs w:val="24"/>
          <w:shd w:val="clear" w:color="auto" w:fill="FFFFFF"/>
          <w:rtl/>
        </w:rPr>
        <w:t>אור</w:t>
      </w:r>
      <w:r w:rsidRPr="00F61E02">
        <w:rPr>
          <w:rFonts w:ascii="FrankRuehl" w:hAnsi="FrankRuehl"/>
          <w:color w:val="000000"/>
          <w:shd w:val="clear" w:color="auto" w:fill="FFFFFF"/>
          <w:rtl/>
        </w:rPr>
        <w:t xml:space="preserve"> (1996)</w:t>
      </w:r>
      <w:r>
        <w:rPr>
          <w:rFonts w:ascii="FrankRuehl" w:hAnsi="FrankRuehl" w:hint="cs"/>
          <w:color w:val="000000"/>
          <w:shd w:val="clear" w:color="auto" w:fill="FFFFFF"/>
          <w:rtl/>
        </w:rPr>
        <w:t xml:space="preserve">). ודוק, זכות זו אינה מוחלטת, ולעיתים, אין מנוס </w:t>
      </w:r>
      <w:r>
        <w:rPr>
          <w:rFonts w:ascii="FrankRuehl" w:hAnsi="FrankRuehl"/>
          <w:color w:val="000000"/>
          <w:shd w:val="clear" w:color="auto" w:fill="FFFFFF"/>
          <w:rtl/>
        </w:rPr>
        <w:t>–</w:t>
      </w:r>
      <w:r>
        <w:rPr>
          <w:rFonts w:ascii="FrankRuehl" w:hAnsi="FrankRuehl" w:hint="cs"/>
          <w:color w:val="000000"/>
          <w:shd w:val="clear" w:color="auto" w:fill="FFFFFF"/>
          <w:rtl/>
        </w:rPr>
        <w:t xml:space="preserve"> בהתקיים נסיבות חריגות כבענייננו, מכורח המציאות ובצו השעה </w:t>
      </w:r>
      <w:r>
        <w:rPr>
          <w:rFonts w:ascii="FrankRuehl" w:hAnsi="FrankRuehl"/>
          <w:color w:val="000000"/>
          <w:shd w:val="clear" w:color="auto" w:fill="FFFFFF"/>
          <w:rtl/>
        </w:rPr>
        <w:t>–</w:t>
      </w:r>
      <w:r>
        <w:rPr>
          <w:rFonts w:ascii="FrankRuehl" w:hAnsi="FrankRuehl" w:hint="cs"/>
          <w:color w:val="000000"/>
          <w:shd w:val="clear" w:color="auto" w:fill="FFFFFF"/>
          <w:rtl/>
        </w:rPr>
        <w:t xml:space="preserve"> מלהגבילה, במסגרת אמות המידה החוקתיות הקיימות. לעניין זה, יפים דבריו של השופט </w:t>
      </w:r>
      <w:r>
        <w:rPr>
          <w:rFonts w:ascii="Century" w:hAnsi="Century" w:cs="Miriam" w:hint="cs"/>
          <w:b/>
          <w:spacing w:val="0"/>
          <w:szCs w:val="24"/>
          <w:shd w:val="clear" w:color="auto" w:fill="FFFFFF"/>
          <w:rtl/>
        </w:rPr>
        <w:t>א'</w:t>
      </w:r>
      <w:r w:rsidRPr="00A817BB">
        <w:rPr>
          <w:rFonts w:ascii="Century" w:hAnsi="Century" w:cs="Miriam" w:hint="cs"/>
          <w:b/>
          <w:spacing w:val="0"/>
          <w:szCs w:val="24"/>
          <w:shd w:val="clear" w:color="auto" w:fill="FFFFFF"/>
          <w:rtl/>
        </w:rPr>
        <w:t xml:space="preserve"> ריבלין</w:t>
      </w:r>
      <w:r>
        <w:rPr>
          <w:rFonts w:ascii="Century" w:hAnsi="Century" w:hint="cs"/>
          <w:shd w:val="clear" w:color="auto" w:fill="FFFFFF"/>
          <w:rtl/>
        </w:rPr>
        <w:t xml:space="preserve">, בהקשר אחר: </w:t>
      </w:r>
    </w:p>
    <w:p w:rsidR="001F0B27" w:rsidRDefault="001F0B27" w:rsidP="001F0B27">
      <w:pPr>
        <w:pStyle w:val="Ruller4"/>
        <w:rPr>
          <w:rFonts w:ascii="FrankRuehl" w:hAnsi="FrankRuehl"/>
          <w:color w:val="000000"/>
          <w:shd w:val="clear" w:color="auto" w:fill="FFFFFF"/>
          <w:rtl/>
        </w:rPr>
      </w:pPr>
    </w:p>
    <w:p w:rsidR="001F0B27" w:rsidRDefault="001F0B27" w:rsidP="001F0B27">
      <w:pPr>
        <w:pStyle w:val="Ruller5"/>
        <w:rPr>
          <w:shd w:val="clear" w:color="auto" w:fill="FFFFFF"/>
          <w:rtl/>
        </w:rPr>
      </w:pPr>
      <w:r>
        <w:rPr>
          <w:rFonts w:hint="cs"/>
          <w:shd w:val="clear" w:color="auto" w:fill="FFFFFF"/>
          <w:rtl/>
        </w:rPr>
        <w:t>"</w:t>
      </w:r>
      <w:r w:rsidRPr="007854F7">
        <w:rPr>
          <w:rFonts w:hint="eastAsia"/>
          <w:shd w:val="clear" w:color="auto" w:fill="FFFFFF"/>
          <w:rtl/>
        </w:rPr>
        <w:t>את</w:t>
      </w:r>
      <w:r w:rsidRPr="007854F7">
        <w:rPr>
          <w:shd w:val="clear" w:color="auto" w:fill="FFFFFF"/>
          <w:rtl/>
        </w:rPr>
        <w:t xml:space="preserve"> </w:t>
      </w:r>
      <w:r w:rsidRPr="007854F7">
        <w:rPr>
          <w:rFonts w:hint="eastAsia"/>
          <w:shd w:val="clear" w:color="auto" w:fill="FFFFFF"/>
          <w:rtl/>
        </w:rPr>
        <w:t>אימרתו</w:t>
      </w:r>
      <w:r w:rsidRPr="007854F7">
        <w:rPr>
          <w:shd w:val="clear" w:color="auto" w:fill="FFFFFF"/>
          <w:rtl/>
        </w:rPr>
        <w:t xml:space="preserve"> </w:t>
      </w:r>
      <w:r w:rsidRPr="007854F7">
        <w:rPr>
          <w:rFonts w:hint="eastAsia"/>
          <w:shd w:val="clear" w:color="auto" w:fill="FFFFFF"/>
          <w:rtl/>
        </w:rPr>
        <w:t>של</w:t>
      </w:r>
      <w:r w:rsidRPr="007854F7">
        <w:rPr>
          <w:shd w:val="clear" w:color="auto" w:fill="FFFFFF"/>
          <w:rtl/>
        </w:rPr>
        <w:t xml:space="preserve"> </w:t>
      </w:r>
      <w:r w:rsidRPr="007854F7">
        <w:rPr>
          <w:rFonts w:hint="eastAsia"/>
          <w:shd w:val="clear" w:color="auto" w:fill="FFFFFF"/>
          <w:rtl/>
        </w:rPr>
        <w:t>השופט</w:t>
      </w:r>
      <w:r w:rsidRPr="007854F7">
        <w:rPr>
          <w:shd w:val="clear" w:color="auto" w:fill="FFFFFF"/>
          <w:rtl/>
        </w:rPr>
        <w:t xml:space="preserve"> </w:t>
      </w:r>
      <w:r w:rsidRPr="007854F7">
        <w:rPr>
          <w:rFonts w:hint="eastAsia"/>
          <w:shd w:val="clear" w:color="auto" w:fill="FFFFFF"/>
          <w:rtl/>
        </w:rPr>
        <w:t>הולמס</w:t>
      </w:r>
      <w:r w:rsidRPr="007854F7">
        <w:rPr>
          <w:shd w:val="clear" w:color="auto" w:fill="FFFFFF"/>
          <w:rtl/>
        </w:rPr>
        <w:t xml:space="preserve"> </w:t>
      </w:r>
      <w:r>
        <w:rPr>
          <w:rFonts w:hint="cs"/>
          <w:shd w:val="clear" w:color="auto" w:fill="FFFFFF"/>
          <w:rtl/>
        </w:rPr>
        <w:t>[...]</w:t>
      </w:r>
      <w:r w:rsidRPr="007854F7">
        <w:rPr>
          <w:shd w:val="clear" w:color="auto" w:fill="FFFFFF"/>
          <w:rtl/>
        </w:rPr>
        <w:t xml:space="preserve"> </w:t>
      </w:r>
      <w:r w:rsidRPr="007854F7">
        <w:rPr>
          <w:rFonts w:hint="eastAsia"/>
          <w:shd w:val="clear" w:color="auto" w:fill="FFFFFF"/>
          <w:rtl/>
        </w:rPr>
        <w:t>כי</w:t>
      </w:r>
      <w:r w:rsidRPr="007854F7">
        <w:rPr>
          <w:shd w:val="clear" w:color="auto" w:fill="FFFFFF"/>
          <w:rtl/>
        </w:rPr>
        <w:t xml:space="preserve"> </w:t>
      </w:r>
      <w:r w:rsidRPr="007854F7">
        <w:rPr>
          <w:rFonts w:hint="eastAsia"/>
          <w:shd w:val="clear" w:color="auto" w:fill="FFFFFF"/>
          <w:rtl/>
        </w:rPr>
        <w:t>דברים</w:t>
      </w:r>
      <w:r w:rsidRPr="007854F7">
        <w:rPr>
          <w:shd w:val="clear" w:color="auto" w:fill="FFFFFF"/>
          <w:rtl/>
        </w:rPr>
        <w:t xml:space="preserve"> </w:t>
      </w:r>
      <w:r w:rsidRPr="007854F7">
        <w:rPr>
          <w:rFonts w:hint="eastAsia"/>
          <w:shd w:val="clear" w:color="auto" w:fill="FFFFFF"/>
          <w:rtl/>
        </w:rPr>
        <w:t>הנאמרים</w:t>
      </w:r>
      <w:r w:rsidRPr="007854F7">
        <w:rPr>
          <w:shd w:val="clear" w:color="auto" w:fill="FFFFFF"/>
          <w:rtl/>
        </w:rPr>
        <w:t xml:space="preserve"> </w:t>
      </w:r>
      <w:r w:rsidRPr="007854F7">
        <w:rPr>
          <w:rFonts w:hint="eastAsia"/>
          <w:shd w:val="clear" w:color="auto" w:fill="FFFFFF"/>
          <w:rtl/>
        </w:rPr>
        <w:t>בעת</w:t>
      </w:r>
      <w:r w:rsidRPr="007854F7">
        <w:rPr>
          <w:shd w:val="clear" w:color="auto" w:fill="FFFFFF"/>
          <w:rtl/>
        </w:rPr>
        <w:t xml:space="preserve"> </w:t>
      </w:r>
      <w:r w:rsidRPr="007854F7">
        <w:rPr>
          <w:rFonts w:hint="eastAsia"/>
          <w:shd w:val="clear" w:color="auto" w:fill="FFFFFF"/>
          <w:rtl/>
        </w:rPr>
        <w:t>שלום</w:t>
      </w:r>
      <w:r w:rsidRPr="007854F7">
        <w:rPr>
          <w:shd w:val="clear" w:color="auto" w:fill="FFFFFF"/>
          <w:rtl/>
        </w:rPr>
        <w:t xml:space="preserve"> </w:t>
      </w:r>
      <w:r w:rsidRPr="007854F7">
        <w:rPr>
          <w:rFonts w:hint="eastAsia"/>
          <w:shd w:val="clear" w:color="auto" w:fill="FFFFFF"/>
          <w:rtl/>
        </w:rPr>
        <w:t>יש</w:t>
      </w:r>
      <w:r w:rsidRPr="007854F7">
        <w:rPr>
          <w:shd w:val="clear" w:color="auto" w:fill="FFFFFF"/>
          <w:rtl/>
        </w:rPr>
        <w:t xml:space="preserve"> </w:t>
      </w:r>
      <w:r w:rsidRPr="007854F7">
        <w:rPr>
          <w:rFonts w:hint="eastAsia"/>
          <w:shd w:val="clear" w:color="auto" w:fill="FFFFFF"/>
          <w:rtl/>
        </w:rPr>
        <w:t>ולא</w:t>
      </w:r>
      <w:r w:rsidRPr="007854F7">
        <w:rPr>
          <w:shd w:val="clear" w:color="auto" w:fill="FFFFFF"/>
          <w:rtl/>
        </w:rPr>
        <w:t xml:space="preserve"> </w:t>
      </w:r>
      <w:r w:rsidRPr="007854F7">
        <w:rPr>
          <w:rFonts w:hint="eastAsia"/>
          <w:shd w:val="clear" w:color="auto" w:fill="FFFFFF"/>
          <w:rtl/>
        </w:rPr>
        <w:t>ניתן</w:t>
      </w:r>
      <w:r w:rsidRPr="007854F7">
        <w:rPr>
          <w:shd w:val="clear" w:color="auto" w:fill="FFFFFF"/>
          <w:rtl/>
        </w:rPr>
        <w:t xml:space="preserve"> </w:t>
      </w:r>
      <w:r w:rsidRPr="007854F7">
        <w:rPr>
          <w:rFonts w:hint="eastAsia"/>
          <w:shd w:val="clear" w:color="auto" w:fill="FFFFFF"/>
          <w:rtl/>
        </w:rPr>
        <w:t>יהא</w:t>
      </w:r>
      <w:r w:rsidRPr="007854F7">
        <w:rPr>
          <w:shd w:val="clear" w:color="auto" w:fill="FFFFFF"/>
          <w:rtl/>
        </w:rPr>
        <w:t xml:space="preserve"> </w:t>
      </w:r>
      <w:r w:rsidRPr="007854F7">
        <w:rPr>
          <w:rFonts w:hint="eastAsia"/>
          <w:shd w:val="clear" w:color="auto" w:fill="FFFFFF"/>
          <w:rtl/>
        </w:rPr>
        <w:t>לומר</w:t>
      </w:r>
      <w:r w:rsidRPr="007854F7">
        <w:rPr>
          <w:shd w:val="clear" w:color="auto" w:fill="FFFFFF"/>
          <w:rtl/>
        </w:rPr>
        <w:t xml:space="preserve"> </w:t>
      </w:r>
      <w:r w:rsidRPr="007854F7">
        <w:rPr>
          <w:rFonts w:hint="eastAsia"/>
          <w:shd w:val="clear" w:color="auto" w:fill="FFFFFF"/>
          <w:rtl/>
        </w:rPr>
        <w:t>אותם</w:t>
      </w:r>
      <w:r w:rsidRPr="007854F7">
        <w:rPr>
          <w:shd w:val="clear" w:color="auto" w:fill="FFFFFF"/>
          <w:rtl/>
        </w:rPr>
        <w:t xml:space="preserve"> </w:t>
      </w:r>
      <w:r w:rsidRPr="007854F7">
        <w:rPr>
          <w:rFonts w:hint="eastAsia"/>
          <w:shd w:val="clear" w:color="auto" w:fill="FFFFFF"/>
          <w:rtl/>
        </w:rPr>
        <w:t>בעת</w:t>
      </w:r>
      <w:r w:rsidRPr="007854F7">
        <w:rPr>
          <w:shd w:val="clear" w:color="auto" w:fill="FFFFFF"/>
          <w:rtl/>
        </w:rPr>
        <w:t xml:space="preserve"> </w:t>
      </w:r>
      <w:r w:rsidRPr="007854F7">
        <w:rPr>
          <w:rFonts w:hint="eastAsia"/>
          <w:shd w:val="clear" w:color="auto" w:fill="FFFFFF"/>
          <w:rtl/>
        </w:rPr>
        <w:t>מלחמה</w:t>
      </w:r>
      <w:r w:rsidRPr="007854F7">
        <w:rPr>
          <w:shd w:val="clear" w:color="auto" w:fill="FFFFFF"/>
          <w:rtl/>
        </w:rPr>
        <w:t xml:space="preserve"> </w:t>
      </w:r>
      <w:r w:rsidRPr="00A817BB">
        <w:rPr>
          <w:shd w:val="clear" w:color="auto" w:fill="FFFFFF"/>
          <w:rtl/>
        </w:rPr>
        <w:t xml:space="preserve">– </w:t>
      </w:r>
      <w:r w:rsidRPr="00A817BB">
        <w:rPr>
          <w:rFonts w:hint="eastAsia"/>
          <w:shd w:val="clear" w:color="auto" w:fill="FFFFFF"/>
          <w:rtl/>
        </w:rPr>
        <w:t>אין</w:t>
      </w:r>
      <w:r w:rsidRPr="00A817BB">
        <w:rPr>
          <w:shd w:val="clear" w:color="auto" w:fill="FFFFFF"/>
          <w:rtl/>
        </w:rPr>
        <w:t xml:space="preserve"> </w:t>
      </w:r>
      <w:r w:rsidRPr="00A817BB">
        <w:rPr>
          <w:rFonts w:hint="eastAsia"/>
          <w:shd w:val="clear" w:color="auto" w:fill="FFFFFF"/>
          <w:rtl/>
        </w:rPr>
        <w:t>אנו</w:t>
      </w:r>
      <w:r w:rsidRPr="00A817BB">
        <w:rPr>
          <w:shd w:val="clear" w:color="auto" w:fill="FFFFFF"/>
          <w:rtl/>
        </w:rPr>
        <w:t xml:space="preserve"> </w:t>
      </w:r>
      <w:r w:rsidRPr="00A817BB">
        <w:rPr>
          <w:rFonts w:hint="eastAsia"/>
          <w:shd w:val="clear" w:color="auto" w:fill="FFFFFF"/>
          <w:rtl/>
        </w:rPr>
        <w:t>מפרשים</w:t>
      </w:r>
      <w:r w:rsidRPr="00A817BB">
        <w:rPr>
          <w:shd w:val="clear" w:color="auto" w:fill="FFFFFF"/>
          <w:rtl/>
        </w:rPr>
        <w:t xml:space="preserve"> </w:t>
      </w:r>
      <w:r w:rsidRPr="00A817BB">
        <w:rPr>
          <w:rFonts w:hint="eastAsia"/>
          <w:shd w:val="clear" w:color="auto" w:fill="FFFFFF"/>
          <w:rtl/>
        </w:rPr>
        <w:t>כקריאה</w:t>
      </w:r>
      <w:r w:rsidRPr="00A817BB">
        <w:rPr>
          <w:shd w:val="clear" w:color="auto" w:fill="FFFFFF"/>
          <w:rtl/>
        </w:rPr>
        <w:t xml:space="preserve"> </w:t>
      </w:r>
      <w:r w:rsidRPr="00A817BB">
        <w:rPr>
          <w:rFonts w:hint="eastAsia"/>
          <w:shd w:val="clear" w:color="auto" w:fill="FFFFFF"/>
          <w:rtl/>
        </w:rPr>
        <w:t>לסטות</w:t>
      </w:r>
      <w:r w:rsidRPr="00A817BB">
        <w:rPr>
          <w:shd w:val="clear" w:color="auto" w:fill="FFFFFF"/>
          <w:rtl/>
        </w:rPr>
        <w:t xml:space="preserve"> </w:t>
      </w:r>
      <w:r w:rsidRPr="00A817BB">
        <w:rPr>
          <w:rFonts w:hint="eastAsia"/>
          <w:shd w:val="clear" w:color="auto" w:fill="FFFFFF"/>
          <w:rtl/>
        </w:rPr>
        <w:t>מן</w:t>
      </w:r>
      <w:r w:rsidRPr="00A817BB">
        <w:rPr>
          <w:shd w:val="clear" w:color="auto" w:fill="FFFFFF"/>
          <w:rtl/>
        </w:rPr>
        <w:t xml:space="preserve"> </w:t>
      </w:r>
      <w:r w:rsidRPr="00A817BB">
        <w:rPr>
          <w:rFonts w:hint="eastAsia"/>
          <w:shd w:val="clear" w:color="auto" w:fill="FFFFFF"/>
          <w:rtl/>
        </w:rPr>
        <w:t>המבחנים</w:t>
      </w:r>
      <w:r w:rsidRPr="00A817BB">
        <w:rPr>
          <w:shd w:val="clear" w:color="auto" w:fill="FFFFFF"/>
          <w:rtl/>
        </w:rPr>
        <w:t xml:space="preserve"> </w:t>
      </w:r>
      <w:r w:rsidRPr="00A817BB">
        <w:rPr>
          <w:rFonts w:hint="eastAsia"/>
          <w:shd w:val="clear" w:color="auto" w:fill="FFFFFF"/>
          <w:rtl/>
        </w:rPr>
        <w:t>החוקתיים</w:t>
      </w:r>
      <w:r w:rsidRPr="00A817BB">
        <w:rPr>
          <w:shd w:val="clear" w:color="auto" w:fill="FFFFFF"/>
          <w:rtl/>
        </w:rPr>
        <w:t xml:space="preserve"> </w:t>
      </w:r>
      <w:r w:rsidRPr="00A817BB">
        <w:rPr>
          <w:rFonts w:hint="eastAsia"/>
          <w:shd w:val="clear" w:color="auto" w:fill="FFFFFF"/>
          <w:rtl/>
        </w:rPr>
        <w:t>עצמם</w:t>
      </w:r>
      <w:r w:rsidRPr="00A817BB">
        <w:rPr>
          <w:shd w:val="clear" w:color="auto" w:fill="FFFFFF"/>
          <w:rtl/>
        </w:rPr>
        <w:t xml:space="preserve"> </w:t>
      </w:r>
      <w:r w:rsidRPr="00A817BB">
        <w:rPr>
          <w:rFonts w:hint="eastAsia"/>
          <w:shd w:val="clear" w:color="auto" w:fill="FFFFFF"/>
          <w:rtl/>
        </w:rPr>
        <w:t>בעת</w:t>
      </w:r>
      <w:r w:rsidRPr="00A817BB">
        <w:rPr>
          <w:shd w:val="clear" w:color="auto" w:fill="FFFFFF"/>
          <w:rtl/>
        </w:rPr>
        <w:t xml:space="preserve"> </w:t>
      </w:r>
      <w:r w:rsidRPr="00A817BB">
        <w:rPr>
          <w:rFonts w:hint="eastAsia"/>
          <w:shd w:val="clear" w:color="auto" w:fill="FFFFFF"/>
          <w:rtl/>
        </w:rPr>
        <w:t>חרום</w:t>
      </w:r>
      <w:r w:rsidRPr="00A817BB">
        <w:rPr>
          <w:shd w:val="clear" w:color="auto" w:fill="FFFFFF"/>
          <w:rtl/>
        </w:rPr>
        <w:t xml:space="preserve">. </w:t>
      </w:r>
      <w:r w:rsidRPr="00A817BB">
        <w:rPr>
          <w:rFonts w:hint="eastAsia"/>
          <w:shd w:val="clear" w:color="auto" w:fill="FFFFFF"/>
          <w:rtl/>
        </w:rPr>
        <w:t>כך</w:t>
      </w:r>
      <w:r w:rsidRPr="00A817BB">
        <w:rPr>
          <w:shd w:val="clear" w:color="auto" w:fill="FFFFFF"/>
          <w:rtl/>
        </w:rPr>
        <w:t xml:space="preserve">, </w:t>
      </w:r>
      <w:r w:rsidRPr="00A817BB">
        <w:rPr>
          <w:rFonts w:ascii="Century" w:hAnsi="Century" w:cs="Miriam" w:hint="eastAsia"/>
          <w:b/>
          <w:spacing w:val="0"/>
          <w:szCs w:val="24"/>
          <w:shd w:val="clear" w:color="auto" w:fill="FFFFFF"/>
          <w:rtl/>
        </w:rPr>
        <w:t>לענין</w:t>
      </w:r>
      <w:r w:rsidRPr="00A817BB">
        <w:rPr>
          <w:rFonts w:ascii="Century" w:hAnsi="Century" w:cs="Miriam"/>
          <w:b/>
          <w:spacing w:val="0"/>
          <w:szCs w:val="24"/>
          <w:shd w:val="clear" w:color="auto" w:fill="FFFFFF"/>
          <w:rtl/>
        </w:rPr>
        <w:t xml:space="preserve"> </w:t>
      </w:r>
      <w:r w:rsidRPr="00A817BB">
        <w:rPr>
          <w:rFonts w:ascii="Century" w:hAnsi="Century" w:cs="Miriam" w:hint="eastAsia"/>
          <w:b/>
          <w:spacing w:val="0"/>
          <w:szCs w:val="24"/>
          <w:shd w:val="clear" w:color="auto" w:fill="FFFFFF"/>
          <w:rtl/>
        </w:rPr>
        <w:t>חופש</w:t>
      </w:r>
      <w:r w:rsidRPr="00A817BB">
        <w:rPr>
          <w:rFonts w:ascii="Century" w:hAnsi="Century" w:cs="Miriam"/>
          <w:b/>
          <w:spacing w:val="0"/>
          <w:szCs w:val="24"/>
          <w:shd w:val="clear" w:color="auto" w:fill="FFFFFF"/>
          <w:rtl/>
        </w:rPr>
        <w:t xml:space="preserve"> </w:t>
      </w:r>
      <w:r w:rsidRPr="00A817BB">
        <w:rPr>
          <w:rFonts w:ascii="Century" w:hAnsi="Century" w:cs="Miriam" w:hint="eastAsia"/>
          <w:b/>
          <w:spacing w:val="0"/>
          <w:szCs w:val="24"/>
          <w:shd w:val="clear" w:color="auto" w:fill="FFFFFF"/>
          <w:rtl/>
        </w:rPr>
        <w:t>הביטוי</w:t>
      </w:r>
      <w:r w:rsidRPr="00A817BB">
        <w:rPr>
          <w:shd w:val="clear" w:color="auto" w:fill="FFFFFF"/>
          <w:rtl/>
        </w:rPr>
        <w:t xml:space="preserve"> </w:t>
      </w:r>
      <w:r w:rsidRPr="00A817BB">
        <w:rPr>
          <w:rFonts w:hint="eastAsia"/>
          <w:shd w:val="clear" w:color="auto" w:fill="FFFFFF"/>
          <w:rtl/>
        </w:rPr>
        <w:t>וכך</w:t>
      </w:r>
      <w:r w:rsidRPr="00A817BB">
        <w:rPr>
          <w:shd w:val="clear" w:color="auto" w:fill="FFFFFF"/>
          <w:rtl/>
        </w:rPr>
        <w:t xml:space="preserve"> </w:t>
      </w:r>
      <w:r w:rsidRPr="00A817BB">
        <w:rPr>
          <w:rFonts w:hint="eastAsia"/>
          <w:shd w:val="clear" w:color="auto" w:fill="FFFFFF"/>
          <w:rtl/>
        </w:rPr>
        <w:t>לעניין</w:t>
      </w:r>
      <w:r w:rsidRPr="00A817BB">
        <w:rPr>
          <w:shd w:val="clear" w:color="auto" w:fill="FFFFFF"/>
          <w:rtl/>
        </w:rPr>
        <w:t xml:space="preserve"> </w:t>
      </w:r>
      <w:r w:rsidRPr="00A817BB">
        <w:rPr>
          <w:rFonts w:hint="eastAsia"/>
          <w:shd w:val="clear" w:color="auto" w:fill="FFFFFF"/>
          <w:rtl/>
        </w:rPr>
        <w:t>זכויות</w:t>
      </w:r>
      <w:r w:rsidRPr="00A817BB">
        <w:rPr>
          <w:shd w:val="clear" w:color="auto" w:fill="FFFFFF"/>
          <w:rtl/>
        </w:rPr>
        <w:t xml:space="preserve"> </w:t>
      </w:r>
      <w:r w:rsidRPr="00A817BB">
        <w:rPr>
          <w:rFonts w:hint="eastAsia"/>
          <w:shd w:val="clear" w:color="auto" w:fill="FFFFFF"/>
          <w:rtl/>
        </w:rPr>
        <w:t>יסוד</w:t>
      </w:r>
      <w:r w:rsidRPr="00A817BB">
        <w:rPr>
          <w:shd w:val="clear" w:color="auto" w:fill="FFFFFF"/>
          <w:rtl/>
        </w:rPr>
        <w:t xml:space="preserve"> </w:t>
      </w:r>
      <w:r w:rsidRPr="00A817BB">
        <w:rPr>
          <w:rFonts w:hint="eastAsia"/>
          <w:shd w:val="clear" w:color="auto" w:fill="FFFFFF"/>
          <w:rtl/>
        </w:rPr>
        <w:t>אחרות</w:t>
      </w:r>
      <w:r w:rsidRPr="00A817BB">
        <w:rPr>
          <w:shd w:val="clear" w:color="auto" w:fill="FFFFFF"/>
          <w:rtl/>
        </w:rPr>
        <w:t xml:space="preserve">. </w:t>
      </w:r>
      <w:r w:rsidRPr="00A817BB">
        <w:rPr>
          <w:rFonts w:hint="eastAsia"/>
          <w:shd w:val="clear" w:color="auto" w:fill="FFFFFF"/>
          <w:rtl/>
        </w:rPr>
        <w:t>המבחנים</w:t>
      </w:r>
      <w:r w:rsidRPr="00A817BB">
        <w:rPr>
          <w:shd w:val="clear" w:color="auto" w:fill="FFFFFF"/>
          <w:rtl/>
        </w:rPr>
        <w:t xml:space="preserve"> </w:t>
      </w:r>
      <w:r w:rsidRPr="00A817BB">
        <w:rPr>
          <w:rFonts w:hint="eastAsia"/>
          <w:shd w:val="clear" w:color="auto" w:fill="FFFFFF"/>
          <w:rtl/>
        </w:rPr>
        <w:t>על</w:t>
      </w:r>
      <w:r w:rsidRPr="00A817BB">
        <w:rPr>
          <w:shd w:val="clear" w:color="auto" w:fill="FFFFFF"/>
          <w:rtl/>
        </w:rPr>
        <w:t>-</w:t>
      </w:r>
      <w:r w:rsidRPr="00A817BB">
        <w:rPr>
          <w:rFonts w:hint="eastAsia"/>
          <w:shd w:val="clear" w:color="auto" w:fill="FFFFFF"/>
          <w:rtl/>
        </w:rPr>
        <w:t>פיהם</w:t>
      </w:r>
      <w:r w:rsidRPr="00A817BB">
        <w:rPr>
          <w:shd w:val="clear" w:color="auto" w:fill="FFFFFF"/>
          <w:rtl/>
        </w:rPr>
        <w:t xml:space="preserve"> </w:t>
      </w:r>
      <w:r w:rsidRPr="00A817BB">
        <w:rPr>
          <w:rFonts w:hint="eastAsia"/>
          <w:shd w:val="clear" w:color="auto" w:fill="FFFFFF"/>
          <w:rtl/>
        </w:rPr>
        <w:t>בוחנים</w:t>
      </w:r>
      <w:r w:rsidRPr="00A817BB">
        <w:rPr>
          <w:shd w:val="clear" w:color="auto" w:fill="FFFFFF"/>
          <w:rtl/>
        </w:rPr>
        <w:t xml:space="preserve"> </w:t>
      </w:r>
      <w:r w:rsidRPr="00A817BB">
        <w:rPr>
          <w:rFonts w:hint="eastAsia"/>
          <w:shd w:val="clear" w:color="auto" w:fill="FFFFFF"/>
          <w:rtl/>
        </w:rPr>
        <w:t>אנו</w:t>
      </w:r>
      <w:r w:rsidRPr="00A817BB">
        <w:rPr>
          <w:shd w:val="clear" w:color="auto" w:fill="FFFFFF"/>
          <w:rtl/>
        </w:rPr>
        <w:t xml:space="preserve"> </w:t>
      </w:r>
      <w:r w:rsidRPr="00A817BB">
        <w:rPr>
          <w:rFonts w:hint="eastAsia"/>
          <w:shd w:val="clear" w:color="auto" w:fill="FFFFFF"/>
          <w:rtl/>
        </w:rPr>
        <w:t>הגבלות</w:t>
      </w:r>
      <w:r w:rsidRPr="00A817BB">
        <w:rPr>
          <w:shd w:val="clear" w:color="auto" w:fill="FFFFFF"/>
          <w:rtl/>
        </w:rPr>
        <w:t xml:space="preserve"> </w:t>
      </w:r>
      <w:r w:rsidRPr="00A817BB">
        <w:rPr>
          <w:rFonts w:hint="eastAsia"/>
          <w:shd w:val="clear" w:color="auto" w:fill="FFFFFF"/>
          <w:rtl/>
        </w:rPr>
        <w:t>על</w:t>
      </w:r>
      <w:r w:rsidRPr="00A817BB">
        <w:rPr>
          <w:shd w:val="clear" w:color="auto" w:fill="FFFFFF"/>
          <w:rtl/>
        </w:rPr>
        <w:t xml:space="preserve"> </w:t>
      </w:r>
      <w:r w:rsidRPr="00A817BB">
        <w:rPr>
          <w:rFonts w:hint="eastAsia"/>
          <w:shd w:val="clear" w:color="auto" w:fill="FFFFFF"/>
          <w:rtl/>
        </w:rPr>
        <w:t>זכויות</w:t>
      </w:r>
      <w:r w:rsidRPr="00A817BB">
        <w:rPr>
          <w:shd w:val="clear" w:color="auto" w:fill="FFFFFF"/>
          <w:rtl/>
        </w:rPr>
        <w:t xml:space="preserve"> </w:t>
      </w:r>
      <w:r w:rsidRPr="00A817BB">
        <w:rPr>
          <w:rFonts w:hint="eastAsia"/>
          <w:shd w:val="clear" w:color="auto" w:fill="FFFFFF"/>
          <w:rtl/>
        </w:rPr>
        <w:t>האדם</w:t>
      </w:r>
      <w:r w:rsidRPr="00A817BB">
        <w:rPr>
          <w:shd w:val="clear" w:color="auto" w:fill="FFFFFF"/>
          <w:rtl/>
        </w:rPr>
        <w:t xml:space="preserve"> </w:t>
      </w:r>
      <w:r w:rsidRPr="00A817BB">
        <w:rPr>
          <w:rFonts w:hint="eastAsia"/>
          <w:shd w:val="clear" w:color="auto" w:fill="FFFFFF"/>
          <w:rtl/>
        </w:rPr>
        <w:t>בשל</w:t>
      </w:r>
      <w:r w:rsidRPr="00A817BB">
        <w:rPr>
          <w:shd w:val="clear" w:color="auto" w:fill="FFFFFF"/>
          <w:rtl/>
        </w:rPr>
        <w:t xml:space="preserve"> </w:t>
      </w:r>
      <w:r w:rsidRPr="00A817BB">
        <w:rPr>
          <w:rFonts w:hint="eastAsia"/>
          <w:shd w:val="clear" w:color="auto" w:fill="FFFFFF"/>
          <w:rtl/>
        </w:rPr>
        <w:t>סיבות</w:t>
      </w:r>
      <w:r w:rsidRPr="00A817BB">
        <w:rPr>
          <w:shd w:val="clear" w:color="auto" w:fill="FFFFFF"/>
          <w:rtl/>
        </w:rPr>
        <w:t xml:space="preserve"> </w:t>
      </w:r>
      <w:r w:rsidRPr="00A817BB">
        <w:rPr>
          <w:rFonts w:hint="eastAsia"/>
          <w:shd w:val="clear" w:color="auto" w:fill="FFFFFF"/>
          <w:rtl/>
        </w:rPr>
        <w:t>מתחייבות</w:t>
      </w:r>
      <w:r w:rsidRPr="00A817BB">
        <w:rPr>
          <w:shd w:val="clear" w:color="auto" w:fill="FFFFFF"/>
          <w:rtl/>
        </w:rPr>
        <w:t xml:space="preserve"> </w:t>
      </w:r>
      <w:r w:rsidRPr="00A817BB">
        <w:rPr>
          <w:rFonts w:hint="eastAsia"/>
          <w:shd w:val="clear" w:color="auto" w:fill="FFFFFF"/>
          <w:rtl/>
        </w:rPr>
        <w:t>הם</w:t>
      </w:r>
      <w:r w:rsidRPr="00A817BB">
        <w:rPr>
          <w:shd w:val="clear" w:color="auto" w:fill="FFFFFF"/>
          <w:rtl/>
        </w:rPr>
        <w:t xml:space="preserve"> </w:t>
      </w:r>
      <w:r w:rsidRPr="00A817BB">
        <w:rPr>
          <w:rFonts w:hint="eastAsia"/>
          <w:shd w:val="clear" w:color="auto" w:fill="FFFFFF"/>
          <w:rtl/>
        </w:rPr>
        <w:t>מבחנים</w:t>
      </w:r>
      <w:r w:rsidRPr="00A817BB">
        <w:rPr>
          <w:shd w:val="clear" w:color="auto" w:fill="FFFFFF"/>
          <w:rtl/>
        </w:rPr>
        <w:t xml:space="preserve"> </w:t>
      </w:r>
      <w:r w:rsidRPr="00A817BB">
        <w:rPr>
          <w:rFonts w:hint="eastAsia"/>
          <w:shd w:val="clear" w:color="auto" w:fill="FFFFFF"/>
          <w:rtl/>
        </w:rPr>
        <w:t>אחידים</w:t>
      </w:r>
      <w:r w:rsidRPr="00A817BB">
        <w:rPr>
          <w:shd w:val="clear" w:color="auto" w:fill="FFFFFF"/>
          <w:rtl/>
        </w:rPr>
        <w:t xml:space="preserve"> </w:t>
      </w:r>
      <w:r w:rsidRPr="00A817BB">
        <w:rPr>
          <w:rFonts w:hint="eastAsia"/>
          <w:shd w:val="clear" w:color="auto" w:fill="FFFFFF"/>
          <w:rtl/>
        </w:rPr>
        <w:t>בכל</w:t>
      </w:r>
      <w:r w:rsidRPr="00A817BB">
        <w:rPr>
          <w:shd w:val="clear" w:color="auto" w:fill="FFFFFF"/>
          <w:rtl/>
        </w:rPr>
        <w:t xml:space="preserve"> </w:t>
      </w:r>
      <w:r w:rsidRPr="00A817BB">
        <w:rPr>
          <w:rFonts w:hint="eastAsia"/>
          <w:shd w:val="clear" w:color="auto" w:fill="FFFFFF"/>
          <w:rtl/>
        </w:rPr>
        <w:t>עת</w:t>
      </w:r>
      <w:r w:rsidRPr="00A817BB">
        <w:rPr>
          <w:shd w:val="clear" w:color="auto" w:fill="FFFFFF"/>
          <w:rtl/>
        </w:rPr>
        <w:t xml:space="preserve">. </w:t>
      </w:r>
      <w:r w:rsidRPr="00A817BB">
        <w:rPr>
          <w:rFonts w:hint="eastAsia"/>
          <w:shd w:val="clear" w:color="auto" w:fill="FFFFFF"/>
          <w:rtl/>
        </w:rPr>
        <w:t>המבחן</w:t>
      </w:r>
      <w:r w:rsidRPr="00A817BB">
        <w:rPr>
          <w:shd w:val="clear" w:color="auto" w:fill="FFFFFF"/>
          <w:rtl/>
        </w:rPr>
        <w:t xml:space="preserve"> </w:t>
      </w:r>
      <w:r w:rsidRPr="00A817BB">
        <w:rPr>
          <w:rFonts w:hint="eastAsia"/>
          <w:shd w:val="clear" w:color="auto" w:fill="FFFFFF"/>
          <w:rtl/>
        </w:rPr>
        <w:t>הוא</w:t>
      </w:r>
      <w:r w:rsidRPr="00A817BB">
        <w:rPr>
          <w:shd w:val="clear" w:color="auto" w:fill="FFFFFF"/>
          <w:rtl/>
        </w:rPr>
        <w:t xml:space="preserve"> </w:t>
      </w:r>
      <w:r w:rsidRPr="00A817BB">
        <w:rPr>
          <w:rFonts w:hint="eastAsia"/>
          <w:shd w:val="clear" w:color="auto" w:fill="FFFFFF"/>
          <w:rtl/>
        </w:rPr>
        <w:t>זהה</w:t>
      </w:r>
      <w:r w:rsidRPr="00A817BB">
        <w:rPr>
          <w:shd w:val="clear" w:color="auto" w:fill="FFFFFF"/>
          <w:rtl/>
        </w:rPr>
        <w:t xml:space="preserve">. </w:t>
      </w:r>
      <w:r w:rsidRPr="00A817BB">
        <w:rPr>
          <w:rFonts w:hint="eastAsia"/>
          <w:shd w:val="clear" w:color="auto" w:fill="FFFFFF"/>
          <w:rtl/>
        </w:rPr>
        <w:t>אולם</w:t>
      </w:r>
      <w:r w:rsidRPr="00A817BB">
        <w:rPr>
          <w:shd w:val="clear" w:color="auto" w:fill="FFFFFF"/>
          <w:rtl/>
        </w:rPr>
        <w:t xml:space="preserve"> </w:t>
      </w:r>
      <w:r w:rsidRPr="00A817BB">
        <w:rPr>
          <w:rFonts w:hint="eastAsia"/>
          <w:shd w:val="clear" w:color="auto" w:fill="FFFFFF"/>
          <w:rtl/>
        </w:rPr>
        <w:t>ראוי</w:t>
      </w:r>
      <w:r w:rsidRPr="00A817BB">
        <w:rPr>
          <w:shd w:val="clear" w:color="auto" w:fill="FFFFFF"/>
          <w:rtl/>
        </w:rPr>
        <w:t xml:space="preserve"> </w:t>
      </w:r>
      <w:r w:rsidRPr="00A817BB">
        <w:rPr>
          <w:rFonts w:hint="eastAsia"/>
          <w:shd w:val="clear" w:color="auto" w:fill="FFFFFF"/>
          <w:rtl/>
        </w:rPr>
        <w:lastRenderedPageBreak/>
        <w:t>לזכור</w:t>
      </w:r>
      <w:r w:rsidRPr="00A817BB">
        <w:rPr>
          <w:shd w:val="clear" w:color="auto" w:fill="FFFFFF"/>
          <w:rtl/>
        </w:rPr>
        <w:t xml:space="preserve"> </w:t>
      </w:r>
      <w:r w:rsidRPr="00A817BB">
        <w:rPr>
          <w:rFonts w:hint="eastAsia"/>
          <w:shd w:val="clear" w:color="auto" w:fill="FFFFFF"/>
          <w:rtl/>
        </w:rPr>
        <w:t>כי</w:t>
      </w:r>
      <w:r w:rsidRPr="00A817BB">
        <w:rPr>
          <w:shd w:val="clear" w:color="auto" w:fill="FFFFFF"/>
          <w:rtl/>
        </w:rPr>
        <w:t xml:space="preserve"> </w:t>
      </w:r>
      <w:r w:rsidRPr="00A817BB">
        <w:rPr>
          <w:rFonts w:ascii="Century" w:hAnsi="Century" w:cs="Miriam" w:hint="eastAsia"/>
          <w:b/>
          <w:spacing w:val="0"/>
          <w:szCs w:val="24"/>
          <w:shd w:val="clear" w:color="auto" w:fill="FFFFFF"/>
          <w:rtl/>
        </w:rPr>
        <w:t>ישומו</w:t>
      </w:r>
      <w:r w:rsidRPr="00A817BB">
        <w:rPr>
          <w:rFonts w:ascii="Century" w:hAnsi="Century" w:cs="Miriam"/>
          <w:b/>
          <w:spacing w:val="0"/>
          <w:szCs w:val="24"/>
          <w:shd w:val="clear" w:color="auto" w:fill="FFFFFF"/>
          <w:rtl/>
        </w:rPr>
        <w:t xml:space="preserve"> </w:t>
      </w:r>
      <w:r w:rsidRPr="00A817BB">
        <w:rPr>
          <w:rFonts w:ascii="Century" w:hAnsi="Century" w:cs="Miriam" w:hint="eastAsia"/>
          <w:b/>
          <w:spacing w:val="0"/>
          <w:szCs w:val="24"/>
          <w:shd w:val="clear" w:color="auto" w:fill="FFFFFF"/>
          <w:rtl/>
        </w:rPr>
        <w:t>מושפע</w:t>
      </w:r>
      <w:r w:rsidRPr="00A817BB">
        <w:rPr>
          <w:rFonts w:ascii="Century" w:hAnsi="Century" w:cs="Miriam"/>
          <w:b/>
          <w:spacing w:val="0"/>
          <w:szCs w:val="24"/>
          <w:shd w:val="clear" w:color="auto" w:fill="FFFFFF"/>
          <w:rtl/>
        </w:rPr>
        <w:t xml:space="preserve"> </w:t>
      </w:r>
      <w:r w:rsidRPr="00A817BB">
        <w:rPr>
          <w:rFonts w:ascii="Century" w:hAnsi="Century" w:cs="Miriam" w:hint="eastAsia"/>
          <w:b/>
          <w:spacing w:val="0"/>
          <w:szCs w:val="24"/>
          <w:shd w:val="clear" w:color="auto" w:fill="FFFFFF"/>
          <w:rtl/>
        </w:rPr>
        <w:t>מן</w:t>
      </w:r>
      <w:r w:rsidRPr="00A817BB">
        <w:rPr>
          <w:rFonts w:ascii="Century" w:hAnsi="Century" w:cs="Miriam"/>
          <w:b/>
          <w:spacing w:val="0"/>
          <w:szCs w:val="24"/>
          <w:shd w:val="clear" w:color="auto" w:fill="FFFFFF"/>
          <w:rtl/>
        </w:rPr>
        <w:t xml:space="preserve"> </w:t>
      </w:r>
      <w:r w:rsidRPr="00A817BB">
        <w:rPr>
          <w:rFonts w:ascii="Century" w:hAnsi="Century" w:cs="Miriam" w:hint="eastAsia"/>
          <w:b/>
          <w:spacing w:val="0"/>
          <w:szCs w:val="24"/>
          <w:shd w:val="clear" w:color="auto" w:fill="FFFFFF"/>
          <w:rtl/>
        </w:rPr>
        <w:t>המציאות</w:t>
      </w:r>
      <w:r w:rsidRPr="00A817BB">
        <w:rPr>
          <w:shd w:val="clear" w:color="auto" w:fill="FFFFFF"/>
          <w:rtl/>
        </w:rPr>
        <w:t xml:space="preserve">. </w:t>
      </w:r>
      <w:r w:rsidRPr="00A817BB">
        <w:rPr>
          <w:rFonts w:hint="eastAsia"/>
          <w:shd w:val="clear" w:color="auto" w:fill="FFFFFF"/>
          <w:rtl/>
        </w:rPr>
        <w:t>עמד</w:t>
      </w:r>
      <w:r w:rsidRPr="00A817BB">
        <w:rPr>
          <w:shd w:val="clear" w:color="auto" w:fill="FFFFFF"/>
          <w:rtl/>
        </w:rPr>
        <w:t xml:space="preserve"> </w:t>
      </w:r>
      <w:r w:rsidRPr="00A817BB">
        <w:rPr>
          <w:rFonts w:hint="eastAsia"/>
          <w:shd w:val="clear" w:color="auto" w:fill="FFFFFF"/>
          <w:rtl/>
        </w:rPr>
        <w:t>על</w:t>
      </w:r>
      <w:r w:rsidRPr="00A817BB">
        <w:rPr>
          <w:shd w:val="clear" w:color="auto" w:fill="FFFFFF"/>
          <w:rtl/>
        </w:rPr>
        <w:t>-</w:t>
      </w:r>
      <w:r w:rsidRPr="00A817BB">
        <w:rPr>
          <w:rFonts w:hint="eastAsia"/>
          <w:shd w:val="clear" w:color="auto" w:fill="FFFFFF"/>
          <w:rtl/>
        </w:rPr>
        <w:t>כך</w:t>
      </w:r>
      <w:r w:rsidRPr="00A817BB">
        <w:rPr>
          <w:shd w:val="clear" w:color="auto" w:fill="FFFFFF"/>
          <w:rtl/>
        </w:rPr>
        <w:t xml:space="preserve"> </w:t>
      </w:r>
      <w:r w:rsidRPr="00A817BB">
        <w:rPr>
          <w:rFonts w:hint="eastAsia"/>
          <w:shd w:val="clear" w:color="auto" w:fill="FFFFFF"/>
          <w:rtl/>
        </w:rPr>
        <w:t>חברי</w:t>
      </w:r>
      <w:r w:rsidRPr="00A817BB">
        <w:rPr>
          <w:shd w:val="clear" w:color="auto" w:fill="FFFFFF"/>
          <w:rtl/>
        </w:rPr>
        <w:t xml:space="preserve"> </w:t>
      </w:r>
      <w:r w:rsidRPr="00A817BB">
        <w:rPr>
          <w:rFonts w:hint="eastAsia"/>
          <w:shd w:val="clear" w:color="auto" w:fill="FFFFFF"/>
          <w:rtl/>
        </w:rPr>
        <w:t>הנשיא</w:t>
      </w:r>
      <w:r w:rsidRPr="00A817BB">
        <w:rPr>
          <w:shd w:val="clear" w:color="auto" w:fill="FFFFFF"/>
          <w:rtl/>
        </w:rPr>
        <w:t xml:space="preserve"> </w:t>
      </w:r>
      <w:r w:rsidRPr="00A817BB">
        <w:rPr>
          <w:rFonts w:hint="eastAsia"/>
          <w:shd w:val="clear" w:color="auto" w:fill="FFFFFF"/>
          <w:rtl/>
        </w:rPr>
        <w:t>בפסק</w:t>
      </w:r>
      <w:r w:rsidRPr="00A817BB">
        <w:rPr>
          <w:shd w:val="clear" w:color="auto" w:fill="FFFFFF"/>
          <w:rtl/>
        </w:rPr>
        <w:t>-</w:t>
      </w:r>
      <w:r w:rsidRPr="00A817BB">
        <w:rPr>
          <w:rFonts w:hint="eastAsia"/>
          <w:shd w:val="clear" w:color="auto" w:fill="FFFFFF"/>
          <w:rtl/>
        </w:rPr>
        <w:t>דינו</w:t>
      </w:r>
      <w:r w:rsidRPr="00A817BB">
        <w:rPr>
          <w:shd w:val="clear" w:color="auto" w:fill="FFFFFF"/>
          <w:rtl/>
        </w:rPr>
        <w:t xml:space="preserve"> </w:t>
      </w:r>
      <w:r w:rsidRPr="00A817BB">
        <w:rPr>
          <w:rFonts w:hint="eastAsia"/>
          <w:shd w:val="clear" w:color="auto" w:fill="FFFFFF"/>
          <w:rtl/>
        </w:rPr>
        <w:t>כאן</w:t>
      </w:r>
      <w:r w:rsidRPr="00A817BB">
        <w:rPr>
          <w:shd w:val="clear" w:color="auto" w:fill="FFFFFF"/>
          <w:rtl/>
        </w:rPr>
        <w:t xml:space="preserve">: </w:t>
      </w:r>
      <w:r w:rsidRPr="00A817BB">
        <w:rPr>
          <w:rFonts w:hint="eastAsia"/>
          <w:shd w:val="clear" w:color="auto" w:fill="FFFFFF"/>
          <w:rtl/>
        </w:rPr>
        <w:t>הלחימה</w:t>
      </w:r>
      <w:r w:rsidRPr="00A817BB">
        <w:rPr>
          <w:shd w:val="clear" w:color="auto" w:fill="FFFFFF"/>
          <w:rtl/>
        </w:rPr>
        <w:t xml:space="preserve"> </w:t>
      </w:r>
      <w:r w:rsidRPr="00A817BB">
        <w:rPr>
          <w:rFonts w:hint="eastAsia"/>
          <w:shd w:val="clear" w:color="auto" w:fill="FFFFFF"/>
          <w:rtl/>
        </w:rPr>
        <w:t>כמוה</w:t>
      </w:r>
      <w:r w:rsidRPr="00A817BB">
        <w:rPr>
          <w:shd w:val="clear" w:color="auto" w:fill="FFFFFF"/>
          <w:rtl/>
        </w:rPr>
        <w:t xml:space="preserve"> </w:t>
      </w:r>
      <w:r w:rsidRPr="00A817BB">
        <w:rPr>
          <w:rFonts w:hint="eastAsia"/>
          <w:shd w:val="clear" w:color="auto" w:fill="FFFFFF"/>
          <w:rtl/>
        </w:rPr>
        <w:t>כחבית</w:t>
      </w:r>
      <w:r w:rsidRPr="00A817BB">
        <w:rPr>
          <w:shd w:val="clear" w:color="auto" w:fill="FFFFFF"/>
          <w:rtl/>
        </w:rPr>
        <w:t xml:space="preserve"> </w:t>
      </w:r>
      <w:r w:rsidRPr="00A817BB">
        <w:rPr>
          <w:rFonts w:hint="eastAsia"/>
          <w:shd w:val="clear" w:color="auto" w:fill="FFFFFF"/>
          <w:rtl/>
        </w:rPr>
        <w:t>מלאה</w:t>
      </w:r>
      <w:r w:rsidRPr="00A817BB">
        <w:rPr>
          <w:shd w:val="clear" w:color="auto" w:fill="FFFFFF"/>
          <w:rtl/>
        </w:rPr>
        <w:t xml:space="preserve"> </w:t>
      </w:r>
      <w:r w:rsidRPr="00A817BB">
        <w:rPr>
          <w:rFonts w:hint="eastAsia"/>
          <w:shd w:val="clear" w:color="auto" w:fill="FFFFFF"/>
          <w:rtl/>
        </w:rPr>
        <w:t>חומר</w:t>
      </w:r>
      <w:r w:rsidRPr="00A817BB">
        <w:rPr>
          <w:shd w:val="clear" w:color="auto" w:fill="FFFFFF"/>
          <w:rtl/>
        </w:rPr>
        <w:t xml:space="preserve"> </w:t>
      </w:r>
      <w:r w:rsidRPr="00A817BB">
        <w:rPr>
          <w:rFonts w:hint="eastAsia"/>
          <w:shd w:val="clear" w:color="auto" w:fill="FFFFFF"/>
          <w:rtl/>
        </w:rPr>
        <w:t>נפץ</w:t>
      </w:r>
      <w:r w:rsidRPr="00A817BB">
        <w:rPr>
          <w:shd w:val="clear" w:color="auto" w:fill="FFFFFF"/>
          <w:rtl/>
        </w:rPr>
        <w:t xml:space="preserve"> </w:t>
      </w:r>
      <w:r w:rsidRPr="00A817BB">
        <w:rPr>
          <w:rFonts w:hint="eastAsia"/>
          <w:shd w:val="clear" w:color="auto" w:fill="FFFFFF"/>
          <w:rtl/>
        </w:rPr>
        <w:t>ליד</w:t>
      </w:r>
      <w:r w:rsidRPr="00A817BB">
        <w:rPr>
          <w:shd w:val="clear" w:color="auto" w:fill="FFFFFF"/>
          <w:rtl/>
        </w:rPr>
        <w:t xml:space="preserve"> </w:t>
      </w:r>
      <w:r w:rsidRPr="00A817BB">
        <w:rPr>
          <w:rFonts w:hint="eastAsia"/>
          <w:shd w:val="clear" w:color="auto" w:fill="FFFFFF"/>
          <w:rtl/>
        </w:rPr>
        <w:t>מקור</w:t>
      </w:r>
      <w:r w:rsidRPr="00A817BB">
        <w:rPr>
          <w:shd w:val="clear" w:color="auto" w:fill="FFFFFF"/>
          <w:rtl/>
        </w:rPr>
        <w:t xml:space="preserve"> </w:t>
      </w:r>
      <w:r w:rsidRPr="00A817BB">
        <w:rPr>
          <w:rFonts w:hint="eastAsia"/>
          <w:shd w:val="clear" w:color="auto" w:fill="FFFFFF"/>
          <w:rtl/>
        </w:rPr>
        <w:t>אש</w:t>
      </w:r>
      <w:r w:rsidRPr="00A817BB">
        <w:rPr>
          <w:shd w:val="clear" w:color="auto" w:fill="FFFFFF"/>
          <w:rtl/>
        </w:rPr>
        <w:t xml:space="preserve">. </w:t>
      </w:r>
      <w:r w:rsidRPr="00A817BB">
        <w:rPr>
          <w:rFonts w:hint="eastAsia"/>
          <w:shd w:val="clear" w:color="auto" w:fill="FFFFFF"/>
          <w:rtl/>
        </w:rPr>
        <w:t>בתקופת</w:t>
      </w:r>
      <w:r w:rsidRPr="00A817BB">
        <w:rPr>
          <w:shd w:val="clear" w:color="auto" w:fill="FFFFFF"/>
          <w:rtl/>
        </w:rPr>
        <w:t xml:space="preserve"> </w:t>
      </w:r>
      <w:r w:rsidRPr="00A817BB">
        <w:rPr>
          <w:rFonts w:hint="eastAsia"/>
          <w:shd w:val="clear" w:color="auto" w:fill="FFFFFF"/>
          <w:rtl/>
        </w:rPr>
        <w:t>הלחימה</w:t>
      </w:r>
      <w:r w:rsidRPr="00A817BB">
        <w:rPr>
          <w:shd w:val="clear" w:color="auto" w:fill="FFFFFF"/>
          <w:rtl/>
        </w:rPr>
        <w:t xml:space="preserve"> </w:t>
      </w:r>
      <w:r w:rsidRPr="00A817BB">
        <w:rPr>
          <w:rFonts w:hint="eastAsia"/>
          <w:shd w:val="clear" w:color="auto" w:fill="FFFFFF"/>
          <w:rtl/>
        </w:rPr>
        <w:t>גדלה</w:t>
      </w:r>
      <w:r w:rsidRPr="00A817BB">
        <w:rPr>
          <w:shd w:val="clear" w:color="auto" w:fill="FFFFFF"/>
          <w:rtl/>
        </w:rPr>
        <w:t xml:space="preserve"> </w:t>
      </w:r>
      <w:r w:rsidRPr="00A817BB">
        <w:rPr>
          <w:rFonts w:hint="eastAsia"/>
          <w:shd w:val="clear" w:color="auto" w:fill="FFFFFF"/>
          <w:rtl/>
        </w:rPr>
        <w:t>ההסתברות</w:t>
      </w:r>
      <w:r w:rsidRPr="00A817BB">
        <w:rPr>
          <w:shd w:val="clear" w:color="auto" w:fill="FFFFFF"/>
          <w:rtl/>
        </w:rPr>
        <w:t xml:space="preserve"> </w:t>
      </w:r>
      <w:r w:rsidRPr="00A817BB">
        <w:rPr>
          <w:rFonts w:hint="eastAsia"/>
          <w:shd w:val="clear" w:color="auto" w:fill="FFFFFF"/>
          <w:rtl/>
        </w:rPr>
        <w:t>כי</w:t>
      </w:r>
      <w:r w:rsidRPr="00A817BB">
        <w:rPr>
          <w:shd w:val="clear" w:color="auto" w:fill="FFFFFF"/>
          <w:rtl/>
        </w:rPr>
        <w:t xml:space="preserve"> </w:t>
      </w:r>
      <w:r w:rsidRPr="00A817BB">
        <w:rPr>
          <w:rFonts w:hint="eastAsia"/>
          <w:shd w:val="clear" w:color="auto" w:fill="FFFFFF"/>
          <w:rtl/>
        </w:rPr>
        <w:t>נזק</w:t>
      </w:r>
      <w:r w:rsidRPr="00A817BB">
        <w:rPr>
          <w:shd w:val="clear" w:color="auto" w:fill="FFFFFF"/>
          <w:rtl/>
        </w:rPr>
        <w:t xml:space="preserve"> </w:t>
      </w:r>
      <w:r w:rsidRPr="00A817BB">
        <w:rPr>
          <w:rFonts w:hint="eastAsia"/>
          <w:shd w:val="clear" w:color="auto" w:fill="FFFFFF"/>
          <w:rtl/>
        </w:rPr>
        <w:t>לאינטרס</w:t>
      </w:r>
      <w:r w:rsidRPr="00A817BB">
        <w:rPr>
          <w:shd w:val="clear" w:color="auto" w:fill="FFFFFF"/>
          <w:rtl/>
        </w:rPr>
        <w:t xml:space="preserve"> </w:t>
      </w:r>
      <w:r w:rsidRPr="00A817BB">
        <w:rPr>
          <w:rFonts w:hint="eastAsia"/>
          <w:shd w:val="clear" w:color="auto" w:fill="FFFFFF"/>
          <w:rtl/>
        </w:rPr>
        <w:t>הציבורי</w:t>
      </w:r>
      <w:r w:rsidRPr="00A817BB">
        <w:rPr>
          <w:shd w:val="clear" w:color="auto" w:fill="FFFFFF"/>
          <w:rtl/>
        </w:rPr>
        <w:t xml:space="preserve"> </w:t>
      </w:r>
      <w:r w:rsidRPr="00A817BB">
        <w:rPr>
          <w:rFonts w:hint="eastAsia"/>
          <w:shd w:val="clear" w:color="auto" w:fill="FFFFFF"/>
          <w:rtl/>
        </w:rPr>
        <w:t>יתרחש</w:t>
      </w:r>
      <w:r w:rsidRPr="00A817BB">
        <w:rPr>
          <w:shd w:val="clear" w:color="auto" w:fill="FFFFFF"/>
          <w:rtl/>
        </w:rPr>
        <w:t xml:space="preserve"> </w:t>
      </w:r>
      <w:r w:rsidRPr="00A817BB">
        <w:rPr>
          <w:rFonts w:hint="eastAsia"/>
          <w:shd w:val="clear" w:color="auto" w:fill="FFFFFF"/>
          <w:rtl/>
        </w:rPr>
        <w:t>וגדלה</w:t>
      </w:r>
      <w:r w:rsidRPr="00A817BB">
        <w:rPr>
          <w:shd w:val="clear" w:color="auto" w:fill="FFFFFF"/>
          <w:rtl/>
        </w:rPr>
        <w:t xml:space="preserve"> </w:t>
      </w:r>
      <w:r w:rsidRPr="00A817BB">
        <w:rPr>
          <w:rFonts w:hint="eastAsia"/>
          <w:shd w:val="clear" w:color="auto" w:fill="FFFFFF"/>
          <w:rtl/>
        </w:rPr>
        <w:t>העוצמה</w:t>
      </w:r>
      <w:r w:rsidRPr="00A817BB">
        <w:rPr>
          <w:shd w:val="clear" w:color="auto" w:fill="FFFFFF"/>
          <w:rtl/>
        </w:rPr>
        <w:t xml:space="preserve"> </w:t>
      </w:r>
      <w:r w:rsidRPr="00A817BB">
        <w:rPr>
          <w:rFonts w:hint="eastAsia"/>
          <w:shd w:val="clear" w:color="auto" w:fill="FFFFFF"/>
          <w:rtl/>
        </w:rPr>
        <w:t>של</w:t>
      </w:r>
      <w:r w:rsidRPr="00A817BB">
        <w:rPr>
          <w:shd w:val="clear" w:color="auto" w:fill="FFFFFF"/>
          <w:rtl/>
        </w:rPr>
        <w:t xml:space="preserve"> </w:t>
      </w:r>
      <w:r w:rsidRPr="00A817BB">
        <w:rPr>
          <w:rFonts w:hint="eastAsia"/>
          <w:shd w:val="clear" w:color="auto" w:fill="FFFFFF"/>
          <w:rtl/>
        </w:rPr>
        <w:t>הפגיעה</w:t>
      </w:r>
      <w:r w:rsidRPr="00A817BB">
        <w:rPr>
          <w:shd w:val="clear" w:color="auto" w:fill="FFFFFF"/>
          <w:rtl/>
        </w:rPr>
        <w:t xml:space="preserve"> </w:t>
      </w:r>
      <w:r w:rsidRPr="00A817BB">
        <w:rPr>
          <w:rFonts w:hint="eastAsia"/>
          <w:shd w:val="clear" w:color="auto" w:fill="FFFFFF"/>
          <w:rtl/>
        </w:rPr>
        <w:t>באינטרס</w:t>
      </w:r>
      <w:r w:rsidRPr="00A817BB">
        <w:rPr>
          <w:shd w:val="clear" w:color="auto" w:fill="FFFFFF"/>
          <w:rtl/>
        </w:rPr>
        <w:t xml:space="preserve"> </w:t>
      </w:r>
      <w:r w:rsidRPr="00A817BB">
        <w:rPr>
          <w:rFonts w:hint="eastAsia"/>
          <w:shd w:val="clear" w:color="auto" w:fill="FFFFFF"/>
          <w:rtl/>
        </w:rPr>
        <w:t>הציבורי</w:t>
      </w:r>
      <w:r w:rsidRPr="00A817BB">
        <w:rPr>
          <w:shd w:val="clear" w:color="auto" w:fill="FFFFFF"/>
          <w:rtl/>
        </w:rPr>
        <w:t xml:space="preserve">, </w:t>
      </w:r>
      <w:r w:rsidRPr="00A817BB">
        <w:rPr>
          <w:rFonts w:hint="eastAsia"/>
          <w:shd w:val="clear" w:color="auto" w:fill="FFFFFF"/>
          <w:rtl/>
        </w:rPr>
        <w:t>ובכך</w:t>
      </w:r>
      <w:r w:rsidRPr="00A817BB">
        <w:rPr>
          <w:shd w:val="clear" w:color="auto" w:fill="FFFFFF"/>
          <w:rtl/>
        </w:rPr>
        <w:t xml:space="preserve"> </w:t>
      </w:r>
      <w:r w:rsidRPr="00A817BB">
        <w:rPr>
          <w:rFonts w:hint="eastAsia"/>
          <w:shd w:val="clear" w:color="auto" w:fill="FFFFFF"/>
          <w:rtl/>
        </w:rPr>
        <w:t>מתאפשרת</w:t>
      </w:r>
      <w:r w:rsidRPr="00A817BB">
        <w:rPr>
          <w:shd w:val="clear" w:color="auto" w:fill="FFFFFF"/>
          <w:rtl/>
        </w:rPr>
        <w:t xml:space="preserve"> </w:t>
      </w:r>
      <w:r w:rsidRPr="00A817BB">
        <w:rPr>
          <w:rFonts w:hint="eastAsia"/>
          <w:shd w:val="clear" w:color="auto" w:fill="FFFFFF"/>
          <w:rtl/>
        </w:rPr>
        <w:t>הגבלת</w:t>
      </w:r>
      <w:r w:rsidRPr="00A817BB">
        <w:rPr>
          <w:shd w:val="clear" w:color="auto" w:fill="FFFFFF"/>
          <w:rtl/>
        </w:rPr>
        <w:t xml:space="preserve"> </w:t>
      </w:r>
      <w:r w:rsidRPr="00A817BB">
        <w:rPr>
          <w:rFonts w:hint="eastAsia"/>
          <w:shd w:val="clear" w:color="auto" w:fill="FFFFFF"/>
          <w:rtl/>
        </w:rPr>
        <w:t>הזכות</w:t>
      </w:r>
      <w:r w:rsidRPr="00A817BB">
        <w:rPr>
          <w:shd w:val="clear" w:color="auto" w:fill="FFFFFF"/>
          <w:rtl/>
        </w:rPr>
        <w:t xml:space="preserve"> </w:t>
      </w:r>
      <w:r w:rsidRPr="00A817BB">
        <w:rPr>
          <w:rFonts w:hint="eastAsia"/>
          <w:shd w:val="clear" w:color="auto" w:fill="FFFFFF"/>
          <w:rtl/>
        </w:rPr>
        <w:t>במסגרת</w:t>
      </w:r>
      <w:r w:rsidRPr="00A817BB">
        <w:rPr>
          <w:shd w:val="clear" w:color="auto" w:fill="FFFFFF"/>
          <w:rtl/>
        </w:rPr>
        <w:t xml:space="preserve"> </w:t>
      </w:r>
      <w:r w:rsidRPr="00A817BB">
        <w:rPr>
          <w:rFonts w:hint="eastAsia"/>
          <w:shd w:val="clear" w:color="auto" w:fill="FFFFFF"/>
          <w:rtl/>
        </w:rPr>
        <w:t>אמות</w:t>
      </w:r>
      <w:r w:rsidRPr="00A817BB">
        <w:rPr>
          <w:shd w:val="clear" w:color="auto" w:fill="FFFFFF"/>
          <w:rtl/>
        </w:rPr>
        <w:t xml:space="preserve"> </w:t>
      </w:r>
      <w:r w:rsidRPr="00A817BB">
        <w:rPr>
          <w:rFonts w:hint="eastAsia"/>
          <w:shd w:val="clear" w:color="auto" w:fill="FFFFFF"/>
          <w:rtl/>
        </w:rPr>
        <w:t>המידה</w:t>
      </w:r>
      <w:r w:rsidRPr="00A817BB">
        <w:rPr>
          <w:shd w:val="clear" w:color="auto" w:fill="FFFFFF"/>
          <w:rtl/>
        </w:rPr>
        <w:t xml:space="preserve"> </w:t>
      </w:r>
      <w:r w:rsidRPr="00A817BB">
        <w:rPr>
          <w:rFonts w:hint="eastAsia"/>
          <w:shd w:val="clear" w:color="auto" w:fill="FFFFFF"/>
          <w:rtl/>
        </w:rPr>
        <w:t>הקיימות</w:t>
      </w:r>
      <w:r w:rsidRPr="00A817BB">
        <w:rPr>
          <w:shd w:val="clear" w:color="auto" w:fill="FFFFFF"/>
          <w:rtl/>
        </w:rPr>
        <w:t>"</w:t>
      </w:r>
      <w:r>
        <w:rPr>
          <w:rFonts w:hint="cs"/>
          <w:shd w:val="clear" w:color="auto" w:fill="FFFFFF"/>
          <w:rtl/>
        </w:rPr>
        <w:t xml:space="preserve"> </w:t>
      </w:r>
      <w:r>
        <w:rPr>
          <w:rFonts w:hint="cs"/>
          <w:rtl/>
        </w:rPr>
        <w:t>(</w:t>
      </w:r>
      <w:r w:rsidRPr="008D2E6C">
        <w:rPr>
          <w:rFonts w:hint="eastAsia"/>
          <w:rtl/>
        </w:rPr>
        <w:t>בג</w:t>
      </w:r>
      <w:r w:rsidRPr="008D2E6C">
        <w:rPr>
          <w:rtl/>
        </w:rPr>
        <w:t>"</w:t>
      </w:r>
      <w:r w:rsidRPr="008D2E6C">
        <w:rPr>
          <w:rFonts w:hint="eastAsia"/>
          <w:rtl/>
        </w:rPr>
        <w:t>ץ</w:t>
      </w:r>
      <w:r w:rsidRPr="008D2E6C">
        <w:rPr>
          <w:rtl/>
        </w:rPr>
        <w:t xml:space="preserve"> 7052/03 </w:t>
      </w:r>
      <w:r w:rsidRPr="002D6CD1">
        <w:rPr>
          <w:rFonts w:ascii="Century" w:hAnsi="Century" w:cs="Miriam" w:hint="eastAsia"/>
          <w:b/>
          <w:spacing w:val="0"/>
          <w:szCs w:val="24"/>
          <w:rtl/>
        </w:rPr>
        <w:t>עדאלה</w:t>
      </w:r>
      <w:r w:rsidRPr="002D6CD1">
        <w:rPr>
          <w:rFonts w:ascii="Century" w:hAnsi="Century" w:cs="Miriam"/>
          <w:b/>
          <w:spacing w:val="0"/>
          <w:szCs w:val="24"/>
          <w:rtl/>
        </w:rPr>
        <w:t xml:space="preserve"> </w:t>
      </w:r>
      <w:r w:rsidRPr="002D6CD1">
        <w:rPr>
          <w:rFonts w:ascii="Century" w:hAnsi="Century" w:cs="Miriam" w:hint="eastAsia"/>
          <w:b/>
          <w:spacing w:val="0"/>
          <w:szCs w:val="24"/>
          <w:rtl/>
        </w:rPr>
        <w:t>המרכז</w:t>
      </w:r>
      <w:r w:rsidRPr="002D6CD1">
        <w:rPr>
          <w:rFonts w:ascii="Century" w:hAnsi="Century" w:cs="Miriam"/>
          <w:b/>
          <w:spacing w:val="0"/>
          <w:szCs w:val="24"/>
          <w:rtl/>
        </w:rPr>
        <w:t xml:space="preserve"> </w:t>
      </w:r>
      <w:r w:rsidRPr="002D6CD1">
        <w:rPr>
          <w:rFonts w:ascii="Century" w:hAnsi="Century" w:cs="Miriam" w:hint="eastAsia"/>
          <w:b/>
          <w:spacing w:val="0"/>
          <w:szCs w:val="24"/>
          <w:rtl/>
        </w:rPr>
        <w:t>המשפטי</w:t>
      </w:r>
      <w:r w:rsidRPr="002D6CD1">
        <w:rPr>
          <w:rFonts w:ascii="Century" w:hAnsi="Century" w:cs="Miriam"/>
          <w:b/>
          <w:spacing w:val="0"/>
          <w:szCs w:val="24"/>
          <w:rtl/>
        </w:rPr>
        <w:t xml:space="preserve"> </w:t>
      </w:r>
      <w:r w:rsidRPr="002D6CD1">
        <w:rPr>
          <w:rFonts w:ascii="Century" w:hAnsi="Century" w:cs="Miriam" w:hint="eastAsia"/>
          <w:b/>
          <w:spacing w:val="0"/>
          <w:szCs w:val="24"/>
          <w:rtl/>
        </w:rPr>
        <w:t>לזכויות</w:t>
      </w:r>
      <w:r w:rsidRPr="002D6CD1">
        <w:rPr>
          <w:rFonts w:ascii="Century" w:hAnsi="Century" w:cs="Miriam"/>
          <w:b/>
          <w:spacing w:val="0"/>
          <w:szCs w:val="24"/>
          <w:rtl/>
        </w:rPr>
        <w:t xml:space="preserve"> </w:t>
      </w:r>
      <w:r w:rsidRPr="002D6CD1">
        <w:rPr>
          <w:rFonts w:ascii="Century" w:hAnsi="Century" w:cs="Miriam" w:hint="eastAsia"/>
          <w:b/>
          <w:spacing w:val="0"/>
          <w:szCs w:val="24"/>
          <w:rtl/>
        </w:rPr>
        <w:t>המיעוט</w:t>
      </w:r>
      <w:r w:rsidRPr="002D6CD1">
        <w:rPr>
          <w:rFonts w:ascii="Century" w:hAnsi="Century" w:cs="Miriam"/>
          <w:b/>
          <w:spacing w:val="0"/>
          <w:szCs w:val="24"/>
          <w:rtl/>
        </w:rPr>
        <w:t xml:space="preserve"> </w:t>
      </w:r>
      <w:r w:rsidRPr="002D6CD1">
        <w:rPr>
          <w:rFonts w:ascii="Century" w:hAnsi="Century" w:cs="Miriam" w:hint="eastAsia"/>
          <w:b/>
          <w:spacing w:val="0"/>
          <w:szCs w:val="24"/>
          <w:rtl/>
        </w:rPr>
        <w:t>הערבי</w:t>
      </w:r>
      <w:r w:rsidRPr="002D6CD1">
        <w:rPr>
          <w:rFonts w:ascii="Century" w:hAnsi="Century" w:cs="Miriam"/>
          <w:b/>
          <w:spacing w:val="0"/>
          <w:szCs w:val="24"/>
          <w:rtl/>
        </w:rPr>
        <w:t xml:space="preserve"> </w:t>
      </w:r>
      <w:r w:rsidRPr="002D6CD1">
        <w:rPr>
          <w:rFonts w:ascii="Century" w:hAnsi="Century" w:cs="Miriam" w:hint="eastAsia"/>
          <w:b/>
          <w:spacing w:val="0"/>
          <w:szCs w:val="24"/>
          <w:rtl/>
        </w:rPr>
        <w:t>בישראל</w:t>
      </w:r>
      <w:r w:rsidRPr="002D6CD1">
        <w:rPr>
          <w:rFonts w:ascii="Century" w:hAnsi="Century" w:cs="Miriam"/>
          <w:b/>
          <w:spacing w:val="0"/>
          <w:szCs w:val="24"/>
          <w:rtl/>
        </w:rPr>
        <w:t xml:space="preserve"> </w:t>
      </w:r>
      <w:r w:rsidRPr="002D6CD1">
        <w:rPr>
          <w:rFonts w:ascii="Century" w:hAnsi="Century" w:cs="Miriam" w:hint="eastAsia"/>
          <w:b/>
          <w:spacing w:val="0"/>
          <w:szCs w:val="24"/>
          <w:rtl/>
        </w:rPr>
        <w:t>נ</w:t>
      </w:r>
      <w:r w:rsidRPr="002D6CD1">
        <w:rPr>
          <w:rFonts w:ascii="Century" w:hAnsi="Century" w:cs="Miriam"/>
          <w:b/>
          <w:spacing w:val="0"/>
          <w:szCs w:val="24"/>
          <w:rtl/>
        </w:rPr>
        <w:t xml:space="preserve">' </w:t>
      </w:r>
      <w:r w:rsidRPr="002D6CD1">
        <w:rPr>
          <w:rFonts w:ascii="Century" w:hAnsi="Century" w:cs="Miriam" w:hint="eastAsia"/>
          <w:b/>
          <w:spacing w:val="0"/>
          <w:szCs w:val="24"/>
          <w:rtl/>
        </w:rPr>
        <w:t>שר</w:t>
      </w:r>
      <w:r w:rsidRPr="002D6CD1">
        <w:rPr>
          <w:rFonts w:ascii="Century" w:hAnsi="Century" w:cs="Miriam"/>
          <w:b/>
          <w:spacing w:val="0"/>
          <w:szCs w:val="24"/>
          <w:rtl/>
        </w:rPr>
        <w:t xml:space="preserve"> </w:t>
      </w:r>
      <w:r w:rsidRPr="002D6CD1">
        <w:rPr>
          <w:rFonts w:ascii="Century" w:hAnsi="Century" w:cs="Miriam" w:hint="eastAsia"/>
          <w:b/>
          <w:spacing w:val="0"/>
          <w:szCs w:val="24"/>
          <w:rtl/>
        </w:rPr>
        <w:t>הפנים</w:t>
      </w:r>
      <w:r w:rsidRPr="008D2E6C">
        <w:rPr>
          <w:rtl/>
        </w:rPr>
        <w:t xml:space="preserve">, </w:t>
      </w:r>
      <w:r w:rsidRPr="008D2E6C">
        <w:rPr>
          <w:rFonts w:hint="eastAsia"/>
          <w:rtl/>
        </w:rPr>
        <w:t>סא</w:t>
      </w:r>
      <w:r w:rsidRPr="008D2E6C">
        <w:rPr>
          <w:rtl/>
        </w:rPr>
        <w:t>(2) 202</w:t>
      </w:r>
      <w:r>
        <w:rPr>
          <w:rFonts w:hint="cs"/>
          <w:rtl/>
        </w:rPr>
        <w:t xml:space="preserve">, פס' 11 (2002); ההדגשה הוספה </w:t>
      </w:r>
      <w:r>
        <w:rPr>
          <w:rtl/>
        </w:rPr>
        <w:t>–</w:t>
      </w:r>
      <w:r>
        <w:rPr>
          <w:rFonts w:hint="cs"/>
          <w:rtl/>
        </w:rPr>
        <w:t xml:space="preserve"> י"ו).</w:t>
      </w:r>
    </w:p>
    <w:p w:rsidR="001F0B27" w:rsidRPr="00A817BB" w:rsidRDefault="001F0B27" w:rsidP="001F0B27">
      <w:pPr>
        <w:pStyle w:val="Ruller4"/>
        <w:rPr>
          <w:shd w:val="clear" w:color="auto" w:fill="FFFFFF"/>
          <w:rtl/>
        </w:rPr>
      </w:pPr>
    </w:p>
    <w:p w:rsidR="001F0B27" w:rsidRPr="002D6CD1" w:rsidRDefault="001F0B27" w:rsidP="001F0B27">
      <w:pPr>
        <w:pStyle w:val="Ruller4"/>
        <w:rPr>
          <w:rFonts w:ascii="Century" w:hAnsi="Century"/>
          <w:rtl/>
        </w:rPr>
      </w:pPr>
      <w:r>
        <w:rPr>
          <w:rFonts w:ascii="FrankRuehl" w:hAnsi="FrankRuehl"/>
          <w:color w:val="000000"/>
          <w:shd w:val="clear" w:color="auto" w:fill="FFFFFF"/>
          <w:rtl/>
        </w:rPr>
        <w:tab/>
      </w:r>
      <w:r>
        <w:rPr>
          <w:rFonts w:ascii="FrankRuehl" w:hAnsi="FrankRuehl" w:hint="cs"/>
          <w:color w:val="000000"/>
          <w:shd w:val="clear" w:color="auto" w:fill="FFFFFF"/>
          <w:rtl/>
        </w:rPr>
        <w:t xml:space="preserve">כך, לצערנו, הם פני הדברים בענייננו. מדינת ישראל מצויה באחת משעותיה הקשות ביותר </w:t>
      </w:r>
      <w:r>
        <w:rPr>
          <w:rFonts w:ascii="FrankRuehl" w:hAnsi="FrankRuehl"/>
          <w:color w:val="000000"/>
          <w:shd w:val="clear" w:color="auto" w:fill="FFFFFF"/>
          <w:rtl/>
        </w:rPr>
        <w:t>–</w:t>
      </w:r>
      <w:r>
        <w:rPr>
          <w:rFonts w:ascii="FrankRuehl" w:hAnsi="FrankRuehl" w:hint="cs"/>
          <w:color w:val="000000"/>
          <w:shd w:val="clear" w:color="auto" w:fill="FFFFFF"/>
          <w:rtl/>
        </w:rPr>
        <w:t xml:space="preserve"> "</w:t>
      </w:r>
      <w:r w:rsidRPr="00C11384">
        <w:rPr>
          <w:rFonts w:ascii="FrankRuehl" w:hAnsi="FrankRuehl" w:hint="eastAsia"/>
          <w:color w:val="000000"/>
          <w:shd w:val="clear" w:color="auto" w:fill="FFFFFF"/>
          <w:rtl/>
        </w:rPr>
        <w:t>קוֹל</w:t>
      </w:r>
      <w:r w:rsidRPr="00C11384">
        <w:rPr>
          <w:rFonts w:ascii="FrankRuehl" w:hAnsi="FrankRuehl"/>
          <w:color w:val="000000"/>
          <w:shd w:val="clear" w:color="auto" w:fill="FFFFFF"/>
          <w:rtl/>
        </w:rPr>
        <w:t xml:space="preserve"> </w:t>
      </w:r>
      <w:r w:rsidRPr="00C11384">
        <w:rPr>
          <w:rFonts w:ascii="FrankRuehl" w:hAnsi="FrankRuehl" w:hint="eastAsia"/>
          <w:color w:val="000000"/>
          <w:shd w:val="clear" w:color="auto" w:fill="FFFFFF"/>
          <w:rtl/>
        </w:rPr>
        <w:t>מִלְחָמָה</w:t>
      </w:r>
      <w:r w:rsidRPr="00C11384">
        <w:rPr>
          <w:rFonts w:ascii="FrankRuehl" w:hAnsi="FrankRuehl"/>
          <w:color w:val="000000"/>
          <w:shd w:val="clear" w:color="auto" w:fill="FFFFFF"/>
          <w:rtl/>
        </w:rPr>
        <w:t xml:space="preserve"> </w:t>
      </w:r>
      <w:r w:rsidRPr="00C11384">
        <w:rPr>
          <w:rFonts w:ascii="FrankRuehl" w:hAnsi="FrankRuehl" w:hint="eastAsia"/>
          <w:color w:val="000000"/>
          <w:shd w:val="clear" w:color="auto" w:fill="FFFFFF"/>
          <w:rtl/>
        </w:rPr>
        <w:t>בָּאָרֶץ</w:t>
      </w:r>
      <w:r w:rsidRPr="00C11384">
        <w:rPr>
          <w:rFonts w:ascii="FrankRuehl" w:hAnsi="FrankRuehl"/>
          <w:color w:val="000000"/>
          <w:shd w:val="clear" w:color="auto" w:fill="FFFFFF"/>
          <w:rtl/>
        </w:rPr>
        <w:t xml:space="preserve"> </w:t>
      </w:r>
      <w:r w:rsidRPr="00C11384">
        <w:rPr>
          <w:rFonts w:ascii="FrankRuehl" w:hAnsi="FrankRuehl" w:hint="eastAsia"/>
          <w:color w:val="000000"/>
          <w:shd w:val="clear" w:color="auto" w:fill="FFFFFF"/>
          <w:rtl/>
        </w:rPr>
        <w:t>וְשֶׁבֶר</w:t>
      </w:r>
      <w:r w:rsidRPr="00C11384">
        <w:rPr>
          <w:rFonts w:ascii="FrankRuehl" w:hAnsi="FrankRuehl"/>
          <w:color w:val="000000"/>
          <w:shd w:val="clear" w:color="auto" w:fill="FFFFFF"/>
          <w:rtl/>
        </w:rPr>
        <w:t xml:space="preserve"> </w:t>
      </w:r>
      <w:r w:rsidRPr="00C11384">
        <w:rPr>
          <w:rFonts w:ascii="FrankRuehl" w:hAnsi="FrankRuehl" w:hint="eastAsia"/>
          <w:color w:val="000000"/>
          <w:shd w:val="clear" w:color="auto" w:fill="FFFFFF"/>
          <w:rtl/>
        </w:rPr>
        <w:t>גָּדוֹל</w:t>
      </w:r>
      <w:r>
        <w:rPr>
          <w:rFonts w:ascii="FrankRuehl" w:hAnsi="FrankRuehl" w:hint="cs"/>
          <w:color w:val="000000"/>
          <w:shd w:val="clear" w:color="auto" w:fill="FFFFFF"/>
          <w:rtl/>
        </w:rPr>
        <w:t xml:space="preserve">" (ירמיהו, ד, י"ט), עת מלחמה מטלטלת וכואבת, הפוגעת בצורה חריפה בעורף ובחזית. על כן, חרף מעמדה הרם של הזכות להפגנה ואסיפה, יש במציאות המורכבת בה אנו מצויים, כדי להשפיע על אופן עריכת האיזונים בעניינה.  </w:t>
      </w:r>
    </w:p>
    <w:p w:rsidR="001F0B27" w:rsidRPr="0024615A" w:rsidRDefault="001F0B27" w:rsidP="001F0B27">
      <w:pPr>
        <w:pStyle w:val="Ruller4"/>
      </w:pPr>
    </w:p>
    <w:p w:rsidR="001F0B27" w:rsidRDefault="001F0B27" w:rsidP="001F0B27">
      <w:pPr>
        <w:pStyle w:val="Ruller4"/>
        <w:rPr>
          <w:rFonts w:ascii="Century" w:hAnsi="Century"/>
          <w:rtl/>
        </w:rPr>
      </w:pPr>
    </w:p>
    <w:p w:rsidR="001F0B27" w:rsidRPr="003F30D5" w:rsidRDefault="001F0B27" w:rsidP="001F0B27">
      <w:pPr>
        <w:pStyle w:val="Ruller4"/>
        <w:rPr>
          <w:rFonts w:ascii="Century" w:hAnsi="Century"/>
          <w:rtl/>
        </w:rPr>
      </w:pPr>
      <w:r>
        <w:rPr>
          <w:rFonts w:ascii="Century" w:hAnsi="Century"/>
          <w:rtl/>
        </w:rPr>
        <w:tab/>
      </w:r>
      <w:r>
        <w:rPr>
          <w:rFonts w:ascii="Century" w:hAnsi="Century"/>
          <w:rtl/>
        </w:rPr>
        <w:tab/>
      </w:r>
      <w:r>
        <w:rPr>
          <w:rFonts w:ascii="Century" w:hAnsi="Century"/>
          <w:rtl/>
        </w:rPr>
        <w:tab/>
      </w:r>
      <w:r>
        <w:rPr>
          <w:rFonts w:ascii="Century" w:hAnsi="Century"/>
          <w:rtl/>
        </w:rPr>
        <w:tab/>
      </w:r>
      <w:r>
        <w:rPr>
          <w:rFonts w:ascii="Century" w:hAnsi="Century"/>
          <w:rtl/>
        </w:rPr>
        <w:tab/>
      </w:r>
      <w:r>
        <w:rPr>
          <w:rFonts w:ascii="Century" w:hAnsi="Century"/>
          <w:rtl/>
        </w:rPr>
        <w:tab/>
      </w:r>
      <w:r>
        <w:rPr>
          <w:rFonts w:ascii="Century" w:hAnsi="Century"/>
          <w:rtl/>
        </w:rPr>
        <w:tab/>
      </w:r>
      <w:r>
        <w:rPr>
          <w:rFonts w:ascii="Century" w:hAnsi="Century"/>
          <w:rtl/>
        </w:rPr>
        <w:tab/>
      </w:r>
      <w:r>
        <w:rPr>
          <w:rFonts w:ascii="Century" w:hAnsi="Century"/>
          <w:rtl/>
        </w:rPr>
        <w:tab/>
      </w:r>
      <w:r>
        <w:rPr>
          <w:rtl/>
        </w:rPr>
        <w:t>ש ו פ ט ת</w:t>
      </w:r>
    </w:p>
    <w:p w:rsidR="001F0B27" w:rsidRDefault="001F0B27" w:rsidP="001F0B27">
      <w:pPr>
        <w:pStyle w:val="Ruller4"/>
        <w:rPr>
          <w:rtl/>
        </w:rPr>
      </w:pPr>
    </w:p>
    <w:p w:rsidR="001F0B27" w:rsidRDefault="001F0B27" w:rsidP="001F0B27">
      <w:pPr>
        <w:pStyle w:val="Ruller4"/>
        <w:rPr>
          <w:rtl/>
        </w:rPr>
      </w:pPr>
    </w:p>
    <w:p w:rsidR="001F0B27" w:rsidRDefault="001F0B27" w:rsidP="00B2761D">
      <w:pPr>
        <w:pStyle w:val="Ruller4"/>
        <w:rPr>
          <w:rFonts w:ascii="Century" w:hAnsi="Century"/>
          <w:rtl/>
        </w:rPr>
      </w:pPr>
      <w:r>
        <w:rPr>
          <w:rFonts w:ascii="Century" w:hAnsi="Century"/>
          <w:rtl/>
        </w:rPr>
        <w:tab/>
      </w:r>
      <w:r>
        <w:rPr>
          <w:rFonts w:ascii="Century" w:hAnsi="Century" w:hint="cs"/>
          <w:rtl/>
        </w:rPr>
        <w:t xml:space="preserve">הוחלט כאמור בפסק דינו של השופט </w:t>
      </w:r>
      <w:r w:rsidRPr="001F0B27">
        <w:rPr>
          <w:rFonts w:ascii="Century" w:hAnsi="Century" w:cs="Miriam" w:hint="cs"/>
          <w:b/>
          <w:spacing w:val="0"/>
          <w:szCs w:val="24"/>
          <w:rtl/>
        </w:rPr>
        <w:t>י' עמית</w:t>
      </w:r>
      <w:r>
        <w:rPr>
          <w:rFonts w:ascii="Century" w:hAnsi="Century" w:hint="cs"/>
          <w:rtl/>
        </w:rPr>
        <w:t>.</w:t>
      </w:r>
    </w:p>
    <w:p w:rsidR="00DE18C2" w:rsidRDefault="00DE18C2" w:rsidP="00B2761D">
      <w:pPr>
        <w:pStyle w:val="Ruller4"/>
        <w:rPr>
          <w:rFonts w:ascii="Century" w:hAnsi="Century"/>
          <w:rtl/>
        </w:rPr>
      </w:pPr>
    </w:p>
    <w:p w:rsidR="00B2761D" w:rsidRDefault="00B2761D" w:rsidP="004A64C7">
      <w:pPr>
        <w:pStyle w:val="Ruller4"/>
        <w:rPr>
          <w:rFonts w:ascii="Century" w:hAnsi="Century"/>
          <w:rtl/>
        </w:rPr>
      </w:pPr>
      <w:r w:rsidRPr="00B2761D">
        <w:rPr>
          <w:rFonts w:ascii="Century" w:hAnsi="Century"/>
          <w:rtl/>
        </w:rPr>
        <w:tab/>
        <w:t xml:space="preserve">ניתן היום, </w:t>
      </w:r>
      <w:r w:rsidRPr="00B2761D">
        <w:rPr>
          <w:rFonts w:ascii="Century" w:hAnsi="Century" w:hint="eastAsia"/>
          <w:rtl/>
        </w:rPr>
        <w:t>‏כ</w:t>
      </w:r>
      <w:r w:rsidRPr="00B2761D">
        <w:rPr>
          <w:rFonts w:ascii="Century" w:hAnsi="Century"/>
          <w:rtl/>
        </w:rPr>
        <w:t>"</w:t>
      </w:r>
      <w:r w:rsidR="004A64C7">
        <w:rPr>
          <w:rFonts w:ascii="Century" w:hAnsi="Century" w:hint="cs"/>
          <w:rtl/>
        </w:rPr>
        <w:t>ד</w:t>
      </w:r>
      <w:r w:rsidRPr="00B2761D">
        <w:rPr>
          <w:rFonts w:ascii="Century" w:hAnsi="Century"/>
          <w:rtl/>
        </w:rPr>
        <w:t xml:space="preserve"> בחשון התשפ"ד (</w:t>
      </w:r>
      <w:r w:rsidRPr="00B2761D">
        <w:rPr>
          <w:rFonts w:ascii="Century" w:hAnsi="Century" w:hint="eastAsia"/>
          <w:rtl/>
        </w:rPr>
        <w:t>‏</w:t>
      </w:r>
      <w:r w:rsidR="004A64C7">
        <w:rPr>
          <w:rFonts w:ascii="Century" w:hAnsi="Century" w:hint="cs"/>
          <w:rtl/>
        </w:rPr>
        <w:t>8</w:t>
      </w:r>
      <w:r w:rsidRPr="00B2761D">
        <w:rPr>
          <w:rFonts w:ascii="Century" w:hAnsi="Century"/>
          <w:rtl/>
        </w:rPr>
        <w:t>.11.2023).</w:t>
      </w:r>
    </w:p>
    <w:p w:rsidR="001F0B27" w:rsidRPr="00B2761D" w:rsidRDefault="001F0B27" w:rsidP="00B2761D">
      <w:pPr>
        <w:pStyle w:val="Ruller4"/>
        <w:rPr>
          <w:rFonts w:ascii="Century" w:hAnsi="Century"/>
          <w:rtl/>
        </w:rPr>
      </w:pPr>
    </w:p>
    <w:p w:rsidR="00016EF1" w:rsidRPr="00B2761D" w:rsidRDefault="00016EF1" w:rsidP="00B2761D">
      <w:pPr>
        <w:pStyle w:val="Ruller4"/>
        <w:rPr>
          <w:rFonts w:ascii="Century" w:hAnsi="Century"/>
          <w:rtl/>
        </w:rPr>
      </w:pPr>
      <w:bookmarkStart w:id="5" w:name="Start_Write"/>
      <w:bookmarkEnd w:id="5"/>
    </w:p>
    <w:tbl>
      <w:tblPr>
        <w:bidiVisual/>
        <w:tblW w:w="8363" w:type="dxa"/>
        <w:tblLook w:val="01E0" w:firstRow="1" w:lastRow="1" w:firstColumn="1" w:lastColumn="1" w:noHBand="0" w:noVBand="0"/>
      </w:tblPr>
      <w:tblGrid>
        <w:gridCol w:w="2787"/>
        <w:gridCol w:w="2788"/>
        <w:gridCol w:w="2788"/>
      </w:tblGrid>
      <w:tr w:rsidR="001A0164" w:rsidTr="00D00B1D">
        <w:tc>
          <w:tcPr>
            <w:tcW w:w="2842" w:type="dxa"/>
            <w:shd w:val="clear" w:color="auto" w:fill="auto"/>
          </w:tcPr>
          <w:p w:rsidR="00016EF1" w:rsidRDefault="004F4A11" w:rsidP="00A51FAE">
            <w:pPr>
              <w:pStyle w:val="Ruller4"/>
              <w:rPr>
                <w:rtl/>
              </w:rPr>
            </w:pPr>
            <w:r>
              <w:rPr>
                <w:rtl/>
              </w:rPr>
              <w:t>ש ו פ ט</w:t>
            </w:r>
          </w:p>
        </w:tc>
        <w:tc>
          <w:tcPr>
            <w:tcW w:w="2843" w:type="dxa"/>
            <w:shd w:val="clear" w:color="auto" w:fill="auto"/>
          </w:tcPr>
          <w:p w:rsidR="001A0164" w:rsidRDefault="004F4A11" w:rsidP="00BA0B08">
            <w:pPr>
              <w:pStyle w:val="Ruller4"/>
              <w:jc w:val="center"/>
              <w:rPr>
                <w:rtl/>
              </w:rPr>
            </w:pPr>
            <w:r>
              <w:rPr>
                <w:rtl/>
              </w:rPr>
              <w:t>ש ו פ ט ת</w:t>
            </w:r>
          </w:p>
        </w:tc>
        <w:tc>
          <w:tcPr>
            <w:tcW w:w="2843" w:type="dxa"/>
            <w:shd w:val="clear" w:color="auto" w:fill="auto"/>
          </w:tcPr>
          <w:p w:rsidR="001A0164" w:rsidRDefault="004F4A11" w:rsidP="00BA0B08">
            <w:pPr>
              <w:pStyle w:val="Ruller4"/>
              <w:jc w:val="center"/>
              <w:rPr>
                <w:rtl/>
              </w:rPr>
            </w:pPr>
            <w:r>
              <w:rPr>
                <w:rtl/>
              </w:rPr>
              <w:t>ש ו פ ט ת</w:t>
            </w:r>
          </w:p>
        </w:tc>
      </w:tr>
    </w:tbl>
    <w:p w:rsidR="00916FF8" w:rsidRDefault="00916FF8">
      <w:pPr>
        <w:rPr>
          <w:szCs w:val="16"/>
          <w:rtl/>
        </w:rPr>
      </w:pPr>
      <w:r>
        <w:rPr>
          <w:szCs w:val="16"/>
          <w:rtl/>
        </w:rPr>
        <w:t>_________________</w:t>
      </w:r>
      <w:r w:rsidR="00A12E0F">
        <w:rPr>
          <w:rFonts w:hint="cs"/>
          <w:szCs w:val="16"/>
          <w:rtl/>
        </w:rPr>
        <w:t>________</w:t>
      </w:r>
    </w:p>
    <w:p w:rsidR="00916FF8" w:rsidRDefault="00591983" w:rsidP="00B009CC">
      <w:pPr>
        <w:pStyle w:val="Ruller38"/>
        <w:rPr>
          <w:rtl/>
        </w:rPr>
      </w:pPr>
      <w:r>
        <w:rPr>
          <w:sz w:val="16"/>
        </w:rPr>
        <w:t xml:space="preserve"> </w:t>
      </w:r>
      <w:r w:rsidR="00A12E0F">
        <w:rPr>
          <w:sz w:val="16"/>
        </w:rPr>
        <w:t xml:space="preserve">  </w:t>
      </w:r>
      <w:r w:rsidR="004F4A11">
        <w:rPr>
          <w:sz w:val="16"/>
        </w:rPr>
        <w:t xml:space="preserve">23080070_E05.docx   </w:t>
      </w:r>
      <w:r w:rsidR="004F4A11">
        <w:rPr>
          <w:sz w:val="16"/>
          <w:rtl/>
        </w:rPr>
        <w:t>סח</w:t>
      </w:r>
    </w:p>
    <w:p w:rsidR="00591983" w:rsidRPr="00FC0252" w:rsidRDefault="00591983" w:rsidP="00FC0252">
      <w:pPr>
        <w:pStyle w:val="Ruller38"/>
        <w:rPr>
          <w:rtl/>
        </w:rPr>
      </w:pPr>
      <w:r>
        <w:rPr>
          <w:rtl/>
        </w:rPr>
        <w:t>מרכז מידע, טל'</w:t>
      </w:r>
      <w:r>
        <w:rPr>
          <w:rFonts w:hint="cs"/>
          <w:rtl/>
        </w:rPr>
        <w:t xml:space="preserve"> </w:t>
      </w:r>
      <w:r w:rsidR="00B63343">
        <w:rPr>
          <w:rFonts w:hint="cs"/>
          <w:rtl/>
        </w:rPr>
        <w:t>077</w:t>
      </w:r>
      <w:r>
        <w:rPr>
          <w:rFonts w:hint="cs"/>
          <w:rtl/>
        </w:rPr>
        <w:t>-</w:t>
      </w:r>
      <w:r w:rsidR="00B63343">
        <w:rPr>
          <w:rFonts w:hint="cs"/>
          <w:rtl/>
        </w:rPr>
        <w:t>270</w:t>
      </w:r>
      <w:r w:rsidR="00E21CA9">
        <w:rPr>
          <w:rFonts w:hint="cs"/>
          <w:rtl/>
        </w:rPr>
        <w:t>3</w:t>
      </w:r>
      <w:r w:rsidR="009B38DA">
        <w:rPr>
          <w:rFonts w:hint="cs"/>
          <w:rtl/>
        </w:rPr>
        <w:t>333</w:t>
      </w:r>
      <w:r w:rsidR="00866D0F">
        <w:rPr>
          <w:rFonts w:hint="cs"/>
          <w:rtl/>
        </w:rPr>
        <w:t>, 3852*</w:t>
      </w:r>
      <w:r>
        <w:rPr>
          <w:rFonts w:hint="cs"/>
          <w:rtl/>
        </w:rPr>
        <w:t xml:space="preserve"> ; אתר אינטרנט,  </w:t>
      </w:r>
      <w:hyperlink r:id="rId8" w:history="1">
        <w:r w:rsidR="00FC0252" w:rsidRPr="00BB4C68">
          <w:rPr>
            <w:rStyle w:val="Hyperlink"/>
            <w:sz w:val="16"/>
          </w:rPr>
          <w:t>https://supreme.court.gov.il</w:t>
        </w:r>
      </w:hyperlink>
    </w:p>
    <w:p w:rsidR="003F1F97" w:rsidRDefault="003F1F97" w:rsidP="00591983">
      <w:pPr>
        <w:pStyle w:val="Ruller38"/>
        <w:rPr>
          <w:rtl/>
        </w:rPr>
      </w:pPr>
    </w:p>
    <w:sectPr w:rsidR="003F1F97" w:rsidSect="00591983">
      <w:headerReference w:type="even" r:id="rId9"/>
      <w:headerReference w:type="default" r:id="rId10"/>
      <w:footerReference w:type="even" r:id="rId11"/>
      <w:footerReference w:type="default" r:id="rId12"/>
      <w:headerReference w:type="first" r:id="rId13"/>
      <w:footerReference w:type="first" r:id="rId14"/>
      <w:endnotePr>
        <w:numFmt w:val="lowerLetter"/>
      </w:endnotePr>
      <w:pgSz w:w="11906" w:h="16838" w:code="9"/>
      <w:pgMar w:top="1134" w:right="1797" w:bottom="1440" w:left="1797" w:header="567" w:footer="397" w:gutter="0"/>
      <w:cols w:space="720"/>
      <w:titlePg/>
      <w:bidi/>
      <w:rtlGutter/>
    </w:sectPr>
  </w:body>
</w:document>
</file>

<file path=word/customizations.xml><?xml version="1.0" encoding="utf-8"?>
<wne:tcg xmlns:r="http://schemas.openxmlformats.org/officeDocument/2006/relationships" xmlns:wne="http://schemas.microsoft.com/office/word/2006/wordml">
  <wne:keymaps>
    <wne:keymap wne:kcmPrimary="0433">
      <wne:acd wne:acdName="acd0"/>
    </wne:keymap>
    <wne:keymap wne:kcmPrimary="0434">
      <wne:acd wne:acdName="acd1"/>
    </wne:keymap>
    <wne:keymap wne:kcmPrimary="0435">
      <wne:acd wne:acdName="acd2"/>
    </wne:keymap>
  </wne:keymaps>
  <wne:toolbars>
    <wne:acdManifest>
      <wne:acdEntry wne:acdName="acd0"/>
      <wne:acdEntry wne:acdName="acd1"/>
      <wne:acdEntry wne:acdName="acd2"/>
    </wne:acdManifest>
    <wne:toolbarData r:id="rId1"/>
  </wne:toolbars>
  <wne:acds>
    <wne:acd wne:argValue="AgBSAHUAbABsAGUAcgAgADMA" wne:acdName="acd0" wne:fciIndexBasedOn="0065"/>
    <wne:acd wne:argValue="AgBSAHUAbABsAGUAcgA0AA==" wne:acdName="acd1" wne:fciIndexBasedOn="0065"/>
    <wne:acd wne:argValue="AgBSAHUAbABsAGUAcgA1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589B" w:rsidRDefault="0060589B">
      <w:r>
        <w:separator/>
      </w:r>
    </w:p>
  </w:endnote>
  <w:endnote w:type="continuationSeparator" w:id="0">
    <w:p w:rsidR="0060589B" w:rsidRDefault="00605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Guttman Yad">
    <w:panose1 w:val="02010401010101010101"/>
    <w:charset w:val="B1"/>
    <w:family w:val="auto"/>
    <w:pitch w:val="variable"/>
    <w:sig w:usb0="00000801" w:usb1="4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3"/>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BC0E82">
      <w:rPr>
        <w:rStyle w:val="a4"/>
        <w:noProof/>
        <w:rtl/>
      </w:rPr>
      <w:t>1</w:t>
    </w:r>
    <w:r>
      <w:rPr>
        <w:rStyle w:val="a4"/>
        <w:rtl/>
      </w:rPr>
      <w:fldChar w:fldCharType="end"/>
    </w:r>
  </w:p>
  <w:p w:rsidR="00377102" w:rsidRDefault="00377102">
    <w:pPr>
      <w:pStyle w:val="a3"/>
      <w:rPr>
        <w:rtl/>
      </w:rPr>
    </w:pPr>
  </w:p>
  <w:p w:rsidR="00377102" w:rsidRDefault="0037710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A11" w:rsidRDefault="004F4A11">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B4D" w:rsidRPr="00F959DB" w:rsidRDefault="00045B4D" w:rsidP="00914156">
    <w:pPr>
      <w:pStyle w:val="a3"/>
      <w:bidi w:val="0"/>
      <w:jc w:val="right"/>
      <w:rPr>
        <w:sz w:val="16"/>
        <w:szCs w:val="16"/>
      </w:rPr>
    </w:pPr>
    <w:bookmarkStart w:id="6" w:name="footer_line"/>
    <w:bookmarkEnd w:id="6"/>
  </w:p>
  <w:p w:rsidR="00045B4D" w:rsidRDefault="00045B4D">
    <w:pPr>
      <w:pStyle w:val="a3"/>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589B" w:rsidRDefault="0060589B">
      <w:r>
        <w:separator/>
      </w:r>
    </w:p>
  </w:footnote>
  <w:footnote w:type="continuationSeparator" w:id="0">
    <w:p w:rsidR="0060589B" w:rsidRDefault="00605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BC0E82">
      <w:rPr>
        <w:rStyle w:val="a4"/>
        <w:noProof/>
        <w:rtl/>
      </w:rPr>
      <w:t>1</w:t>
    </w:r>
    <w:r>
      <w:rPr>
        <w:rStyle w:val="a4"/>
        <w:rtl/>
      </w:rPr>
      <w:fldChar w:fldCharType="end"/>
    </w:r>
  </w:p>
  <w:p w:rsidR="00377102" w:rsidRDefault="00377102">
    <w:pPr>
      <w:pStyle w:val="a5"/>
      <w:rPr>
        <w:rtl/>
      </w:rPr>
    </w:pPr>
  </w:p>
  <w:p w:rsidR="00377102" w:rsidRDefault="0037710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757E74">
      <w:rPr>
        <w:rStyle w:val="a4"/>
        <w:noProof/>
        <w:rtl/>
      </w:rPr>
      <w:t>13</w:t>
    </w:r>
    <w:r>
      <w:rPr>
        <w:rStyle w:val="a4"/>
        <w:rtl/>
      </w:rPr>
      <w:fldChar w:fldCharType="end"/>
    </w:r>
  </w:p>
  <w:p w:rsidR="00377102" w:rsidRDefault="00377102">
    <w:pPr>
      <w:pStyle w:val="a5"/>
      <w:rPr>
        <w:rtl/>
      </w:rPr>
    </w:pPr>
  </w:p>
  <w:p w:rsidR="00377102" w:rsidRDefault="0037710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8363" w:type="dxa"/>
      <w:tblLook w:val="0000" w:firstRow="0" w:lastRow="0" w:firstColumn="0" w:lastColumn="0" w:noHBand="0" w:noVBand="0"/>
    </w:tblPr>
    <w:tblGrid>
      <w:gridCol w:w="8363"/>
    </w:tblGrid>
    <w:tr w:rsidR="00045B4D" w:rsidTr="00EC23AC">
      <w:trPr>
        <w:trHeight w:val="342"/>
      </w:trPr>
      <w:tc>
        <w:tcPr>
          <w:tcW w:w="9828" w:type="dxa"/>
        </w:tcPr>
        <w:p w:rsidR="00377102" w:rsidRPr="002F7BB6" w:rsidRDefault="00EE3810" w:rsidP="00045B4D">
          <w:pPr>
            <w:pStyle w:val="Casenameintextbody"/>
            <w:jc w:val="center"/>
            <w:rPr>
              <w:u w:val="none"/>
              <w:rtl/>
            </w:rPr>
          </w:pPr>
          <w:r w:rsidRPr="002F7BB6">
            <w:rPr>
              <w:noProof/>
              <w:sz w:val="16"/>
              <w:szCs w:val="18"/>
              <w:u w:val="none"/>
              <w:rtl/>
            </w:rPr>
            <w:drawing>
              <wp:inline distT="0" distB="0" distL="0" distR="0">
                <wp:extent cx="464820" cy="449580"/>
                <wp:effectExtent l="0" t="0" r="0" b="762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tc>
    </w:tr>
  </w:tbl>
  <w:p w:rsidR="00045B4D" w:rsidRDefault="00045B4D" w:rsidP="00045B4D">
    <w:pPr>
      <w:pStyle w:val="a5"/>
      <w:jc w:val="cent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7A4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B8EE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485F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300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0465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CCE6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026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A0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46C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800B84"/>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numFmt w:val="lowerLette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227"/>
    <w:rsid w:val="00016EF1"/>
    <w:rsid w:val="00032036"/>
    <w:rsid w:val="00036227"/>
    <w:rsid w:val="00044953"/>
    <w:rsid w:val="00045B4D"/>
    <w:rsid w:val="00051258"/>
    <w:rsid w:val="000725F5"/>
    <w:rsid w:val="00072AD2"/>
    <w:rsid w:val="000B1478"/>
    <w:rsid w:val="000C4690"/>
    <w:rsid w:val="000D25C4"/>
    <w:rsid w:val="00134A67"/>
    <w:rsid w:val="001A0164"/>
    <w:rsid w:val="001D4267"/>
    <w:rsid w:val="001F0B27"/>
    <w:rsid w:val="00200D6B"/>
    <w:rsid w:val="00265F6E"/>
    <w:rsid w:val="002876BF"/>
    <w:rsid w:val="002A4A7A"/>
    <w:rsid w:val="002A4BF3"/>
    <w:rsid w:val="002F7BB6"/>
    <w:rsid w:val="003448B2"/>
    <w:rsid w:val="00361DB2"/>
    <w:rsid w:val="0037622E"/>
    <w:rsid w:val="00377102"/>
    <w:rsid w:val="0039709B"/>
    <w:rsid w:val="003D72DA"/>
    <w:rsid w:val="003F1F97"/>
    <w:rsid w:val="0041048F"/>
    <w:rsid w:val="00437D59"/>
    <w:rsid w:val="004610A4"/>
    <w:rsid w:val="004A64C7"/>
    <w:rsid w:val="004B29FF"/>
    <w:rsid w:val="004C7868"/>
    <w:rsid w:val="004E0836"/>
    <w:rsid w:val="004E2262"/>
    <w:rsid w:val="004F4A11"/>
    <w:rsid w:val="00503A3E"/>
    <w:rsid w:val="00527F02"/>
    <w:rsid w:val="005803E2"/>
    <w:rsid w:val="0058440A"/>
    <w:rsid w:val="00591983"/>
    <w:rsid w:val="0060589B"/>
    <w:rsid w:val="00624A42"/>
    <w:rsid w:val="0065522F"/>
    <w:rsid w:val="006A30F7"/>
    <w:rsid w:val="006C42AD"/>
    <w:rsid w:val="0071330D"/>
    <w:rsid w:val="00725345"/>
    <w:rsid w:val="00741CC0"/>
    <w:rsid w:val="00757E74"/>
    <w:rsid w:val="007B512F"/>
    <w:rsid w:val="007F7512"/>
    <w:rsid w:val="00810894"/>
    <w:rsid w:val="008143AB"/>
    <w:rsid w:val="0083345F"/>
    <w:rsid w:val="00836667"/>
    <w:rsid w:val="00866D0F"/>
    <w:rsid w:val="008C2F11"/>
    <w:rsid w:val="008D78B9"/>
    <w:rsid w:val="008E3F85"/>
    <w:rsid w:val="009051E8"/>
    <w:rsid w:val="00914156"/>
    <w:rsid w:val="00916FF8"/>
    <w:rsid w:val="00922093"/>
    <w:rsid w:val="00930C85"/>
    <w:rsid w:val="009B38DA"/>
    <w:rsid w:val="009F2F53"/>
    <w:rsid w:val="009F4187"/>
    <w:rsid w:val="00A12E0F"/>
    <w:rsid w:val="00A51FAE"/>
    <w:rsid w:val="00A80845"/>
    <w:rsid w:val="00AB69F7"/>
    <w:rsid w:val="00AD097B"/>
    <w:rsid w:val="00AD64B9"/>
    <w:rsid w:val="00AE022B"/>
    <w:rsid w:val="00B009CC"/>
    <w:rsid w:val="00B0782A"/>
    <w:rsid w:val="00B2761D"/>
    <w:rsid w:val="00B62B8C"/>
    <w:rsid w:val="00B63343"/>
    <w:rsid w:val="00B87FF7"/>
    <w:rsid w:val="00BA0B08"/>
    <w:rsid w:val="00BC0E82"/>
    <w:rsid w:val="00BD40F9"/>
    <w:rsid w:val="00BE513E"/>
    <w:rsid w:val="00C3027B"/>
    <w:rsid w:val="00C41C86"/>
    <w:rsid w:val="00C63A6C"/>
    <w:rsid w:val="00CA13AF"/>
    <w:rsid w:val="00CA1444"/>
    <w:rsid w:val="00CB1590"/>
    <w:rsid w:val="00CB7600"/>
    <w:rsid w:val="00CC0E9D"/>
    <w:rsid w:val="00CC3639"/>
    <w:rsid w:val="00D00B1D"/>
    <w:rsid w:val="00D00CB7"/>
    <w:rsid w:val="00D25F16"/>
    <w:rsid w:val="00D472A3"/>
    <w:rsid w:val="00DE18C2"/>
    <w:rsid w:val="00E21CA9"/>
    <w:rsid w:val="00E31063"/>
    <w:rsid w:val="00E36FE9"/>
    <w:rsid w:val="00E73E98"/>
    <w:rsid w:val="00E75223"/>
    <w:rsid w:val="00E90D72"/>
    <w:rsid w:val="00EA0BE1"/>
    <w:rsid w:val="00EC23AC"/>
    <w:rsid w:val="00EC2992"/>
    <w:rsid w:val="00ED46A4"/>
    <w:rsid w:val="00ED6FD9"/>
    <w:rsid w:val="00EE3810"/>
    <w:rsid w:val="00F0471B"/>
    <w:rsid w:val="00F54B0A"/>
    <w:rsid w:val="00F63C3B"/>
    <w:rsid w:val="00F959DB"/>
    <w:rsid w:val="00FC025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4515D34-214E-4AC0-BEBA-CFAB5F566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bidi/>
      <w:adjustRightInd w:val="0"/>
      <w:textAlignment w:val="baseline"/>
    </w:pPr>
    <w:rPr>
      <w:rFonts w:cs="David"/>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3">
    <w:name w:val="Ruller 3"/>
    <w:basedOn w:val="a"/>
    <w:rsid w:val="00A51FAE"/>
    <w:pPr>
      <w:tabs>
        <w:tab w:val="left" w:pos="3210"/>
        <w:tab w:val="left" w:pos="6753"/>
      </w:tabs>
      <w:spacing w:line="360" w:lineRule="auto"/>
    </w:pPr>
    <w:rPr>
      <w:rFonts w:cs="FrankRuehl"/>
      <w:spacing w:val="10"/>
      <w:sz w:val="22"/>
      <w:szCs w:val="28"/>
    </w:rPr>
  </w:style>
  <w:style w:type="paragraph" w:customStyle="1" w:styleId="Pskdinhead">
    <w:name w:val="Pskdin head"/>
    <w:basedOn w:val="a"/>
    <w:pPr>
      <w:spacing w:line="360" w:lineRule="auto"/>
    </w:pPr>
    <w:rPr>
      <w:b/>
      <w:bCs/>
      <w:u w:val="single"/>
    </w:rPr>
  </w:style>
  <w:style w:type="paragraph" w:customStyle="1" w:styleId="FileNumber">
    <w:name w:val="File Number"/>
    <w:basedOn w:val="a"/>
    <w:pPr>
      <w:spacing w:line="360" w:lineRule="auto"/>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a"/>
    <w:pPr>
      <w:jc w:val="center"/>
    </w:pPr>
    <w:rPr>
      <w:b/>
      <w:bCs/>
      <w:i/>
      <w:iCs/>
      <w:sz w:val="28"/>
      <w:szCs w:val="28"/>
    </w:rPr>
  </w:style>
  <w:style w:type="paragraph" w:customStyle="1" w:styleId="DocumentHead">
    <w:name w:val="Document Head"/>
    <w:basedOn w:val="a"/>
    <w:pPr>
      <w:spacing w:line="360" w:lineRule="auto"/>
      <w:jc w:val="center"/>
    </w:pPr>
    <w:rPr>
      <w:bCs/>
      <w:spacing w:val="30"/>
      <w:szCs w:val="28"/>
      <w:u w:val="single"/>
    </w:rPr>
  </w:style>
  <w:style w:type="paragraph" w:customStyle="1" w:styleId="TfutzaList">
    <w:name w:val="Tfutza List"/>
    <w:basedOn w:val="a"/>
    <w:rPr>
      <w:i/>
      <w:iCs/>
    </w:rPr>
  </w:style>
  <w:style w:type="paragraph" w:customStyle="1" w:styleId="Ruller4">
    <w:name w:val="Ruller4"/>
    <w:basedOn w:val="a"/>
    <w:rsid w:val="00A51FAE"/>
    <w:pPr>
      <w:tabs>
        <w:tab w:val="left" w:pos="800"/>
      </w:tabs>
      <w:spacing w:line="360" w:lineRule="auto"/>
      <w:jc w:val="both"/>
    </w:pPr>
    <w:rPr>
      <w:rFonts w:ascii="Arial TUR" w:hAnsi="Arial TUR" w:cs="FrankRuehl"/>
      <w:spacing w:val="10"/>
      <w:sz w:val="22"/>
      <w:szCs w:val="28"/>
    </w:rPr>
  </w:style>
  <w:style w:type="paragraph" w:customStyle="1" w:styleId="Ruller5">
    <w:name w:val="Ruller5"/>
    <w:basedOn w:val="a"/>
    <w:rsid w:val="00A51FAE"/>
    <w:pPr>
      <w:ind w:left="1642" w:right="1282"/>
      <w:jc w:val="both"/>
    </w:pPr>
    <w:rPr>
      <w:rFonts w:ascii="Arial TUR" w:hAnsi="Arial TUR" w:cs="FrankRuehl"/>
      <w:spacing w:val="10"/>
      <w:sz w:val="22"/>
      <w:szCs w:val="28"/>
    </w:rPr>
  </w:style>
  <w:style w:type="paragraph" w:customStyle="1" w:styleId="Ruller6">
    <w:name w:val="Ruller6"/>
    <w:basedOn w:val="a"/>
    <w:rsid w:val="00A51FAE"/>
    <w:pPr>
      <w:tabs>
        <w:tab w:val="left" w:pos="794"/>
        <w:tab w:val="left" w:pos="2268"/>
        <w:tab w:val="left" w:pos="5783"/>
        <w:tab w:val="left" w:pos="7371"/>
      </w:tabs>
    </w:pPr>
    <w:rPr>
      <w:rFonts w:ascii="Arial TUR" w:hAnsi="Arial TUR" w:cs="DavidFix"/>
      <w:spacing w:val="10"/>
      <w:sz w:val="22"/>
      <w:szCs w:val="20"/>
    </w:rPr>
  </w:style>
  <w:style w:type="character" w:customStyle="1" w:styleId="Delete">
    <w:name w:val="Delete"/>
    <w:rPr>
      <w:strike/>
    </w:rPr>
  </w:style>
  <w:style w:type="paragraph" w:customStyle="1" w:styleId="WriterName">
    <w:name w:val="Writer Name"/>
    <w:basedOn w:val="Ruller4"/>
    <w:next w:val="Ruller4"/>
    <w:rPr>
      <w:rFonts w:cs="David"/>
      <w:b/>
      <w:bCs/>
      <w:u w:val="single"/>
    </w:rPr>
  </w:style>
  <w:style w:type="character" w:customStyle="1" w:styleId="Hand">
    <w:name w:val="Hand"/>
    <w:rPr>
      <w:rFonts w:cs="Guttman Yad"/>
    </w:rPr>
  </w:style>
  <w:style w:type="paragraph" w:styleId="a3">
    <w:name w:val="footer"/>
    <w:basedOn w:val="a"/>
    <w:pPr>
      <w:tabs>
        <w:tab w:val="center" w:pos="4153"/>
        <w:tab w:val="right" w:pos="8306"/>
      </w:tabs>
    </w:pPr>
  </w:style>
  <w:style w:type="character" w:styleId="a4">
    <w:name w:val="page number"/>
    <w:basedOn w:val="a0"/>
  </w:style>
  <w:style w:type="paragraph" w:styleId="a5">
    <w:name w:val="header"/>
    <w:basedOn w:val="a"/>
    <w:pPr>
      <w:tabs>
        <w:tab w:val="center" w:pos="4153"/>
        <w:tab w:val="right" w:pos="8306"/>
      </w:tabs>
    </w:pPr>
  </w:style>
  <w:style w:type="paragraph" w:customStyle="1" w:styleId="2">
    <w:name w:val="ñâðåï2"/>
    <w:basedOn w:val="a"/>
    <w:pPr>
      <w:overflowPunct/>
      <w:textAlignment w:val="auto"/>
    </w:pPr>
    <w:rPr>
      <w:rFonts w:cs="Times New Roman"/>
    </w:rPr>
  </w:style>
  <w:style w:type="paragraph" w:customStyle="1" w:styleId="Casenameintextbody">
    <w:name w:val="Case name in text body"/>
    <w:basedOn w:val="a"/>
    <w:pPr>
      <w:overflowPunct/>
      <w:jc w:val="right"/>
      <w:textAlignment w:val="auto"/>
    </w:pPr>
    <w:rPr>
      <w:rFonts w:cs="Times New Roman"/>
      <w:b/>
      <w:bCs/>
      <w:u w:val="single"/>
    </w:rPr>
  </w:style>
  <w:style w:type="paragraph" w:customStyle="1" w:styleId="precasestyle">
    <w:name w:val="pre_case style"/>
    <w:basedOn w:val="a"/>
    <w:pPr>
      <w:tabs>
        <w:tab w:val="left" w:pos="2552"/>
      </w:tabs>
      <w:overflowPunct/>
      <w:ind w:right="2549"/>
      <w:textAlignment w:val="auto"/>
    </w:pPr>
    <w:rPr>
      <w:rFonts w:cs="Times New Roman"/>
    </w:rPr>
  </w:style>
  <w:style w:type="paragraph" w:customStyle="1" w:styleId="BodyRuller">
    <w:name w:val="Body Ruller"/>
    <w:basedOn w:val="a"/>
    <w:rPr>
      <w:sz w:val="22"/>
      <w:szCs w:val="28"/>
    </w:rPr>
  </w:style>
  <w:style w:type="paragraph" w:customStyle="1" w:styleId="Ruller38">
    <w:name w:val="סגנון Ruller 3 + (מורכב) ‏8 נק"/>
    <w:basedOn w:val="BodyRuller"/>
    <w:rPr>
      <w:szCs w:val="16"/>
    </w:rPr>
  </w:style>
  <w:style w:type="character" w:customStyle="1" w:styleId="Ruller30">
    <w:name w:val="Ruller 3 תו"/>
    <w:rPr>
      <w:rFonts w:cs="FrankRuehl"/>
      <w:sz w:val="22"/>
      <w:szCs w:val="28"/>
      <w:lang w:val="en-US" w:eastAsia="en-US" w:bidi="he-IL"/>
    </w:rPr>
  </w:style>
  <w:style w:type="character" w:customStyle="1" w:styleId="BodyRuller0">
    <w:name w:val="Body Ruller תו"/>
    <w:rPr>
      <w:rFonts w:cs="David"/>
      <w:sz w:val="22"/>
      <w:szCs w:val="28"/>
      <w:lang w:val="en-US" w:eastAsia="en-US" w:bidi="he-IL"/>
    </w:rPr>
  </w:style>
  <w:style w:type="character" w:customStyle="1" w:styleId="Ruller380">
    <w:name w:val="סגנון Ruller 3 + (מורכב) ‏8 נק תו"/>
    <w:rPr>
      <w:rFonts w:cs="David"/>
      <w:sz w:val="22"/>
      <w:szCs w:val="16"/>
      <w:lang w:val="en-US" w:eastAsia="en-US" w:bidi="he-IL"/>
    </w:rPr>
  </w:style>
  <w:style w:type="paragraph" w:customStyle="1" w:styleId="FileNumber0">
    <w:name w:val="סגנון File Number + ימין"/>
    <w:basedOn w:val="FileNumber"/>
    <w:rsid w:val="004C7868"/>
    <w:pPr>
      <w:jc w:val="left"/>
    </w:pPr>
    <w:rPr>
      <w:szCs w:val="28"/>
    </w:rPr>
  </w:style>
  <w:style w:type="paragraph" w:customStyle="1" w:styleId="BODYVERDICT">
    <w:name w:val="BODY VERDICT"/>
    <w:basedOn w:val="a"/>
    <w:rsid w:val="00036227"/>
    <w:rPr>
      <w:rFonts w:cs="FrankRuehl"/>
      <w:spacing w:val="10"/>
      <w:sz w:val="22"/>
      <w:szCs w:val="28"/>
    </w:rPr>
  </w:style>
  <w:style w:type="character" w:styleId="Hyperlink">
    <w:name w:val="Hyperlink"/>
    <w:rsid w:val="003F1F97"/>
    <w:rPr>
      <w:color w:val="0000FF"/>
      <w:u w:val="single"/>
    </w:rPr>
  </w:style>
  <w:style w:type="table" w:styleId="a6">
    <w:name w:val="Table Grid"/>
    <w:basedOn w:val="a1"/>
    <w:rsid w:val="003F1F97"/>
    <w:pPr>
      <w:overflowPunct w:val="0"/>
      <w:autoSpaceDE w:val="0"/>
      <w:autoSpaceDN w:val="0"/>
      <w:bidi/>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a0"/>
    <w:rsid w:val="0058440A"/>
    <w:rPr>
      <w:color w:val="954F72" w:themeColor="followedHyperlink"/>
      <w:u w:val="single"/>
    </w:rPr>
  </w:style>
  <w:style w:type="character" w:styleId="a7">
    <w:name w:val="annotation reference"/>
    <w:basedOn w:val="a0"/>
    <w:rsid w:val="00D00B1D"/>
    <w:rPr>
      <w:sz w:val="16"/>
      <w:szCs w:val="16"/>
    </w:rPr>
  </w:style>
  <w:style w:type="paragraph" w:styleId="a8">
    <w:name w:val="annotation text"/>
    <w:basedOn w:val="a"/>
    <w:link w:val="a9"/>
    <w:rsid w:val="00D00B1D"/>
    <w:rPr>
      <w:szCs w:val="20"/>
    </w:rPr>
  </w:style>
  <w:style w:type="character" w:customStyle="1" w:styleId="a9">
    <w:name w:val="טקסט הערה תו"/>
    <w:basedOn w:val="a0"/>
    <w:link w:val="a8"/>
    <w:rsid w:val="00D00B1D"/>
    <w:rPr>
      <w:rFonts w:cs="David"/>
    </w:rPr>
  </w:style>
  <w:style w:type="paragraph" w:styleId="aa">
    <w:name w:val="annotation subject"/>
    <w:basedOn w:val="a8"/>
    <w:next w:val="a8"/>
    <w:link w:val="ab"/>
    <w:rsid w:val="00D00B1D"/>
    <w:rPr>
      <w:b/>
      <w:bCs/>
    </w:rPr>
  </w:style>
  <w:style w:type="character" w:customStyle="1" w:styleId="ab">
    <w:name w:val="נושא הערה תו"/>
    <w:basedOn w:val="a9"/>
    <w:link w:val="aa"/>
    <w:rsid w:val="00D00B1D"/>
    <w:rPr>
      <w:rFonts w:cs="David"/>
      <w:b/>
      <w:bCs/>
    </w:rPr>
  </w:style>
  <w:style w:type="paragraph" w:styleId="ac">
    <w:name w:val="Balloon Text"/>
    <w:basedOn w:val="a"/>
    <w:link w:val="ad"/>
    <w:rsid w:val="00D00B1D"/>
    <w:rPr>
      <w:rFonts w:ascii="Tahoma" w:hAnsi="Tahoma" w:cs="Tahoma"/>
      <w:sz w:val="18"/>
      <w:szCs w:val="18"/>
    </w:rPr>
  </w:style>
  <w:style w:type="character" w:customStyle="1" w:styleId="ad">
    <w:name w:val="טקסט בלונים תו"/>
    <w:basedOn w:val="a0"/>
    <w:link w:val="ac"/>
    <w:rsid w:val="00D00B1D"/>
    <w:rPr>
      <w:rFonts w:ascii="Tahoma" w:hAnsi="Tahoma" w:cs="Tahoma"/>
      <w:sz w:val="18"/>
      <w:szCs w:val="18"/>
    </w:rPr>
  </w:style>
  <w:style w:type="paragraph" w:customStyle="1" w:styleId="ruller31">
    <w:name w:val="ruller 3"/>
    <w:basedOn w:val="Casenameintextbody"/>
    <w:rsid w:val="00DE18C2"/>
    <w:pPr>
      <w:jc w:val="left"/>
    </w:pPr>
    <w:rPr>
      <w:rFonts w:cs="David"/>
      <w:b w:val="0"/>
      <w:bCs w:val="0"/>
      <w:sz w:val="22"/>
      <w:u w:val="none"/>
    </w:rPr>
  </w:style>
  <w:style w:type="character" w:customStyle="1" w:styleId="default">
    <w:name w:val="default"/>
    <w:rsid w:val="001F0B27"/>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3988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upreme.court.gov.i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3708</Words>
  <Characters>18543</Characters>
  <Application>Microsoft Office Word</Application>
  <DocSecurity>0</DocSecurity>
  <Lines>154</Lines>
  <Paragraphs>44</Paragraphs>
  <ScaleCrop>false</ScaleCrop>
  <HeadingPairs>
    <vt:vector size="2" baseType="variant">
      <vt:variant>
        <vt:lpstr>שם</vt:lpstr>
      </vt:variant>
      <vt:variant>
        <vt:i4>1</vt:i4>
      </vt:variant>
    </vt:vector>
  </HeadingPairs>
  <TitlesOfParts>
    <vt:vector size="1" baseType="lpstr">
      <vt:lpstr>פסק-דין בתיק בג"ץ  8007/23</vt:lpstr>
    </vt:vector>
  </TitlesOfParts>
  <Company>supreme court of israel</Company>
  <LinksUpToDate>false</LinksUpToDate>
  <CharactersWithSpaces>22207</CharactersWithSpaces>
  <SharedDoc>false</SharedDoc>
  <HLinks>
    <vt:vector size="6" baseType="variant">
      <vt:variant>
        <vt:i4>1966158</vt:i4>
      </vt:variant>
      <vt:variant>
        <vt:i4>12</vt:i4>
      </vt:variant>
      <vt:variant>
        <vt:i4>0</vt:i4>
      </vt:variant>
      <vt:variant>
        <vt:i4>5</vt:i4>
      </vt:variant>
      <vt:variant>
        <vt:lpwstr>http://www.court.gov.il/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פסק-דין בתיק בג"ץ  8007/23</dc:title>
  <dc:subject/>
  <dc:creator>Administrator</dc:creator>
  <cp:keywords/>
  <dc:description/>
  <cp:lastModifiedBy>רותם כהן</cp:lastModifiedBy>
  <cp:revision>2</cp:revision>
  <cp:lastPrinted>2023-11-08T13:59:00Z</cp:lastPrinted>
  <dcterms:created xsi:type="dcterms:W3CDTF">2023-11-09T06:59:00Z</dcterms:created>
  <dcterms:modified xsi:type="dcterms:W3CDTF">2023-11-09T06:59:00Z</dcterms:modified>
</cp:coreProperties>
</file>